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93F10" w:rsidRPr="00194AA6" w:rsidRDefault="00193F10" w:rsidP="00194AA6">
      <w:pPr>
        <w:jc w:val="center"/>
        <w:rPr>
          <w:sz w:val="22"/>
          <w:szCs w:val="22"/>
        </w:rPr>
      </w:pPr>
    </w:p>
    <w:p w:rsidR="00193F10" w:rsidRDefault="00E9627D" w:rsidP="00194AA6">
      <w:pPr>
        <w:jc w:val="center"/>
      </w:pPr>
      <w:r w:rsidRPr="0039664A">
        <w:rPr>
          <w:noProof/>
        </w:rPr>
        <w:drawing>
          <wp:inline distT="0" distB="0" distL="0" distR="0">
            <wp:extent cx="2743200" cy="1798320"/>
            <wp:effectExtent l="0" t="0" r="0" b="0"/>
            <wp:docPr id="1" name="Picture 1" descr="dep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colo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66980" cy="1813909"/>
                    </a:xfrm>
                    <a:prstGeom prst="rect">
                      <a:avLst/>
                    </a:prstGeom>
                    <a:noFill/>
                    <a:ln>
                      <a:noFill/>
                    </a:ln>
                  </pic:spPr>
                </pic:pic>
              </a:graphicData>
            </a:graphic>
          </wp:inline>
        </w:drawing>
      </w:r>
    </w:p>
    <w:p w:rsidR="00193F10" w:rsidRPr="007A72F6" w:rsidRDefault="00193F10" w:rsidP="007A72F6">
      <w:pPr>
        <w:pStyle w:val="Heading3"/>
        <w:spacing w:before="240" w:after="480"/>
        <w:rPr>
          <w:b/>
          <w:sz w:val="36"/>
          <w:szCs w:val="36"/>
        </w:rPr>
      </w:pPr>
      <w:r w:rsidRPr="007A72F6">
        <w:rPr>
          <w:b/>
          <w:sz w:val="36"/>
          <w:szCs w:val="36"/>
        </w:rPr>
        <w:t>TECHNICAL EVALUATION</w:t>
      </w:r>
    </w:p>
    <w:p w:rsidR="00194AA6" w:rsidRPr="007A72F6" w:rsidRDefault="00194AA6" w:rsidP="00194AA6">
      <w:pPr>
        <w:pStyle w:val="Heading4"/>
        <w:spacing w:after="120"/>
        <w:rPr>
          <w:bCs/>
          <w:sz w:val="24"/>
          <w:szCs w:val="24"/>
        </w:rPr>
      </w:pPr>
      <w:r w:rsidRPr="007A72F6">
        <w:rPr>
          <w:bCs/>
          <w:sz w:val="24"/>
          <w:szCs w:val="24"/>
        </w:rPr>
        <w:t>APPLICANT</w:t>
      </w:r>
    </w:p>
    <w:p w:rsidR="000D297A" w:rsidRPr="000D297A" w:rsidRDefault="000D297A" w:rsidP="000D297A">
      <w:pPr>
        <w:widowControl w:val="0"/>
        <w:jc w:val="center"/>
        <w:rPr>
          <w:sz w:val="24"/>
          <w:szCs w:val="24"/>
        </w:rPr>
      </w:pPr>
      <w:r w:rsidRPr="000D297A">
        <w:rPr>
          <w:sz w:val="24"/>
          <w:szCs w:val="24"/>
        </w:rPr>
        <w:t>City of Lakeland Electric</w:t>
      </w:r>
    </w:p>
    <w:p w:rsidR="000D297A" w:rsidRPr="000D297A" w:rsidRDefault="000D297A" w:rsidP="000D297A">
      <w:pPr>
        <w:widowControl w:val="0"/>
        <w:jc w:val="center"/>
        <w:rPr>
          <w:sz w:val="24"/>
          <w:szCs w:val="24"/>
        </w:rPr>
      </w:pPr>
      <w:r w:rsidRPr="000D297A">
        <w:rPr>
          <w:sz w:val="24"/>
          <w:szCs w:val="24"/>
        </w:rPr>
        <w:t>501 East Lemon Street</w:t>
      </w:r>
    </w:p>
    <w:p w:rsidR="00194AA6" w:rsidRPr="007A72F6" w:rsidRDefault="000D297A" w:rsidP="000D297A">
      <w:pPr>
        <w:widowControl w:val="0"/>
        <w:spacing w:after="240"/>
        <w:jc w:val="center"/>
        <w:rPr>
          <w:sz w:val="24"/>
          <w:szCs w:val="24"/>
        </w:rPr>
      </w:pPr>
      <w:r w:rsidRPr="000D297A">
        <w:rPr>
          <w:sz w:val="24"/>
          <w:szCs w:val="24"/>
        </w:rPr>
        <w:t>Lakeland, Florida  33801-5079</w:t>
      </w:r>
    </w:p>
    <w:p w:rsidR="00194AA6" w:rsidRPr="007A72F6" w:rsidRDefault="000D297A" w:rsidP="00194AA6">
      <w:pPr>
        <w:widowControl w:val="0"/>
        <w:jc w:val="center"/>
        <w:rPr>
          <w:sz w:val="24"/>
          <w:szCs w:val="24"/>
        </w:rPr>
      </w:pPr>
      <w:r w:rsidRPr="000D297A">
        <w:rPr>
          <w:sz w:val="24"/>
          <w:szCs w:val="24"/>
        </w:rPr>
        <w:t>C. D. McIntosh, Jr. Power Plant</w:t>
      </w:r>
    </w:p>
    <w:p w:rsidR="00194AA6" w:rsidRPr="007A72F6" w:rsidRDefault="000D297A" w:rsidP="007A72F6">
      <w:pPr>
        <w:widowControl w:val="0"/>
        <w:spacing w:after="720"/>
        <w:jc w:val="center"/>
        <w:rPr>
          <w:sz w:val="24"/>
          <w:szCs w:val="24"/>
        </w:rPr>
      </w:pPr>
      <w:r w:rsidRPr="000D297A">
        <w:rPr>
          <w:sz w:val="24"/>
          <w:szCs w:val="24"/>
        </w:rPr>
        <w:t>Facility ID No. 1050004</w:t>
      </w:r>
    </w:p>
    <w:p w:rsidR="00193F10" w:rsidRPr="007A72F6" w:rsidRDefault="00193F10" w:rsidP="00194AA6">
      <w:pPr>
        <w:pStyle w:val="Heading4"/>
        <w:spacing w:after="120"/>
        <w:rPr>
          <w:bCs/>
          <w:sz w:val="24"/>
          <w:szCs w:val="24"/>
        </w:rPr>
      </w:pPr>
      <w:r w:rsidRPr="007A72F6">
        <w:rPr>
          <w:bCs/>
          <w:sz w:val="24"/>
          <w:szCs w:val="24"/>
        </w:rPr>
        <w:t>PROJECT</w:t>
      </w:r>
    </w:p>
    <w:p w:rsidR="00193F10" w:rsidRPr="007A72F6" w:rsidRDefault="00193F10" w:rsidP="00194AA6">
      <w:pPr>
        <w:pStyle w:val="Heading1"/>
        <w:spacing w:after="0"/>
        <w:ind w:left="0"/>
        <w:jc w:val="center"/>
        <w:rPr>
          <w:sz w:val="24"/>
          <w:szCs w:val="24"/>
        </w:rPr>
      </w:pPr>
      <w:r w:rsidRPr="007A72F6">
        <w:rPr>
          <w:sz w:val="24"/>
          <w:szCs w:val="24"/>
        </w:rPr>
        <w:t>P</w:t>
      </w:r>
      <w:r w:rsidR="00194AA6" w:rsidRPr="007A72F6">
        <w:rPr>
          <w:sz w:val="24"/>
          <w:szCs w:val="24"/>
        </w:rPr>
        <w:t>roject</w:t>
      </w:r>
      <w:r w:rsidRPr="007A72F6">
        <w:rPr>
          <w:sz w:val="24"/>
          <w:szCs w:val="24"/>
        </w:rPr>
        <w:t xml:space="preserve"> No. </w:t>
      </w:r>
      <w:r w:rsidR="000D297A">
        <w:rPr>
          <w:sz w:val="24"/>
          <w:szCs w:val="24"/>
        </w:rPr>
        <w:t>1050004</w:t>
      </w:r>
      <w:r w:rsidR="004812AF" w:rsidRPr="007A72F6">
        <w:rPr>
          <w:sz w:val="24"/>
          <w:szCs w:val="24"/>
        </w:rPr>
        <w:t>-0</w:t>
      </w:r>
      <w:r w:rsidR="000D297A">
        <w:rPr>
          <w:sz w:val="24"/>
          <w:szCs w:val="24"/>
        </w:rPr>
        <w:t>37</w:t>
      </w:r>
      <w:r w:rsidR="008603FF" w:rsidRPr="007A72F6">
        <w:rPr>
          <w:sz w:val="24"/>
          <w:szCs w:val="24"/>
        </w:rPr>
        <w:t>-AC</w:t>
      </w:r>
    </w:p>
    <w:p w:rsidR="00194AA6" w:rsidRPr="007A72F6" w:rsidRDefault="00194AA6" w:rsidP="00194AA6">
      <w:pPr>
        <w:jc w:val="center"/>
        <w:rPr>
          <w:sz w:val="24"/>
          <w:szCs w:val="24"/>
        </w:rPr>
      </w:pPr>
      <w:r w:rsidRPr="007A72F6">
        <w:rPr>
          <w:sz w:val="24"/>
          <w:szCs w:val="24"/>
        </w:rPr>
        <w:t>Application for Permit</w:t>
      </w:r>
      <w:r w:rsidR="00DD39DC">
        <w:rPr>
          <w:sz w:val="24"/>
          <w:szCs w:val="24"/>
        </w:rPr>
        <w:t xml:space="preserve"> Exemption </w:t>
      </w:r>
    </w:p>
    <w:p w:rsidR="00193F10" w:rsidRPr="007A72F6" w:rsidRDefault="00DD39DC" w:rsidP="007A72F6">
      <w:pPr>
        <w:spacing w:after="600"/>
        <w:jc w:val="center"/>
        <w:rPr>
          <w:sz w:val="24"/>
          <w:szCs w:val="24"/>
        </w:rPr>
      </w:pPr>
      <w:r>
        <w:rPr>
          <w:sz w:val="24"/>
          <w:szCs w:val="24"/>
        </w:rPr>
        <w:t>Mercury Emissions Reduction S</w:t>
      </w:r>
      <w:r w:rsidRPr="00DD39DC">
        <w:rPr>
          <w:sz w:val="24"/>
          <w:szCs w:val="24"/>
        </w:rPr>
        <w:t xml:space="preserve">ystem </w:t>
      </w:r>
      <w:r>
        <w:rPr>
          <w:sz w:val="24"/>
          <w:szCs w:val="24"/>
        </w:rPr>
        <w:t>T</w:t>
      </w:r>
      <w:r w:rsidRPr="00DD39DC">
        <w:rPr>
          <w:sz w:val="24"/>
          <w:szCs w:val="24"/>
        </w:rPr>
        <w:t>esting</w:t>
      </w:r>
    </w:p>
    <w:p w:rsidR="00193F10" w:rsidRPr="007A72F6" w:rsidRDefault="00193F10" w:rsidP="00194AA6">
      <w:pPr>
        <w:pStyle w:val="Heading4"/>
        <w:spacing w:after="120"/>
        <w:rPr>
          <w:bCs/>
          <w:sz w:val="24"/>
          <w:szCs w:val="24"/>
        </w:rPr>
      </w:pPr>
      <w:r w:rsidRPr="007A72F6">
        <w:rPr>
          <w:bCs/>
          <w:sz w:val="24"/>
          <w:szCs w:val="24"/>
        </w:rPr>
        <w:t>COUNTY</w:t>
      </w:r>
    </w:p>
    <w:p w:rsidR="00193F10" w:rsidRPr="007A72F6" w:rsidRDefault="000D297A" w:rsidP="007A72F6">
      <w:pPr>
        <w:spacing w:after="720"/>
        <w:jc w:val="center"/>
        <w:rPr>
          <w:sz w:val="24"/>
          <w:szCs w:val="24"/>
        </w:rPr>
      </w:pPr>
      <w:r>
        <w:rPr>
          <w:sz w:val="24"/>
          <w:szCs w:val="24"/>
        </w:rPr>
        <w:t>Polk</w:t>
      </w:r>
      <w:r w:rsidR="001D1649" w:rsidRPr="007A72F6">
        <w:rPr>
          <w:sz w:val="24"/>
          <w:szCs w:val="24"/>
        </w:rPr>
        <w:t xml:space="preserve"> </w:t>
      </w:r>
      <w:r w:rsidR="00193F10" w:rsidRPr="007A72F6">
        <w:rPr>
          <w:sz w:val="24"/>
          <w:szCs w:val="24"/>
        </w:rPr>
        <w:t>County</w:t>
      </w:r>
      <w:r w:rsidR="001D487F" w:rsidRPr="007A72F6">
        <w:rPr>
          <w:sz w:val="24"/>
          <w:szCs w:val="24"/>
        </w:rPr>
        <w:t>, Florida</w:t>
      </w:r>
    </w:p>
    <w:p w:rsidR="00193F10" w:rsidRPr="007A72F6" w:rsidRDefault="00193F10" w:rsidP="00194AA6">
      <w:pPr>
        <w:pStyle w:val="Heading8"/>
        <w:jc w:val="center"/>
        <w:rPr>
          <w:sz w:val="24"/>
          <w:szCs w:val="24"/>
        </w:rPr>
      </w:pPr>
      <w:r w:rsidRPr="007A72F6">
        <w:rPr>
          <w:sz w:val="24"/>
          <w:szCs w:val="24"/>
        </w:rPr>
        <w:t>PERMITTING</w:t>
      </w:r>
      <w:r w:rsidR="001D487F" w:rsidRPr="007A72F6">
        <w:rPr>
          <w:sz w:val="24"/>
          <w:szCs w:val="24"/>
        </w:rPr>
        <w:t xml:space="preserve"> </w:t>
      </w:r>
      <w:r w:rsidRPr="007A72F6">
        <w:rPr>
          <w:sz w:val="24"/>
          <w:szCs w:val="24"/>
        </w:rPr>
        <w:t>AUTHORITY</w:t>
      </w:r>
    </w:p>
    <w:p w:rsidR="00194AA6" w:rsidRPr="007A72F6" w:rsidRDefault="00194AA6" w:rsidP="00194AA6">
      <w:pPr>
        <w:widowControl w:val="0"/>
        <w:jc w:val="center"/>
        <w:rPr>
          <w:sz w:val="24"/>
          <w:szCs w:val="24"/>
        </w:rPr>
      </w:pPr>
      <w:r w:rsidRPr="007A72F6">
        <w:rPr>
          <w:sz w:val="24"/>
          <w:szCs w:val="24"/>
        </w:rPr>
        <w:t>Florida Department of Environmental Protection</w:t>
      </w:r>
    </w:p>
    <w:p w:rsidR="00194AA6" w:rsidRPr="007A72F6" w:rsidRDefault="00194AA6" w:rsidP="00194AA6">
      <w:pPr>
        <w:widowControl w:val="0"/>
        <w:jc w:val="center"/>
        <w:rPr>
          <w:sz w:val="24"/>
          <w:szCs w:val="24"/>
        </w:rPr>
      </w:pPr>
      <w:r w:rsidRPr="007A72F6">
        <w:rPr>
          <w:sz w:val="24"/>
          <w:szCs w:val="24"/>
        </w:rPr>
        <w:t>Division of Air Resource Management</w:t>
      </w:r>
    </w:p>
    <w:p w:rsidR="00194AA6" w:rsidRPr="007A72F6" w:rsidRDefault="00884EEB" w:rsidP="00194AA6">
      <w:pPr>
        <w:widowControl w:val="0"/>
        <w:jc w:val="center"/>
        <w:rPr>
          <w:sz w:val="24"/>
          <w:szCs w:val="24"/>
        </w:rPr>
      </w:pPr>
      <w:r w:rsidRPr="007A72F6">
        <w:rPr>
          <w:sz w:val="24"/>
          <w:szCs w:val="24"/>
        </w:rPr>
        <w:t>Office of Permitting and Compliance</w:t>
      </w:r>
    </w:p>
    <w:p w:rsidR="00194AA6" w:rsidRPr="007A72F6" w:rsidRDefault="00194AA6" w:rsidP="00194AA6">
      <w:pPr>
        <w:widowControl w:val="0"/>
        <w:jc w:val="center"/>
        <w:rPr>
          <w:sz w:val="24"/>
          <w:szCs w:val="24"/>
        </w:rPr>
      </w:pPr>
      <w:r w:rsidRPr="007A72F6">
        <w:rPr>
          <w:sz w:val="24"/>
          <w:szCs w:val="24"/>
        </w:rPr>
        <w:t>2600 Blair Stone Road, MS#5505</w:t>
      </w:r>
    </w:p>
    <w:p w:rsidR="00194AA6" w:rsidRPr="007A72F6" w:rsidRDefault="00194AA6" w:rsidP="007A72F6">
      <w:pPr>
        <w:widowControl w:val="0"/>
        <w:spacing w:after="960"/>
        <w:jc w:val="center"/>
        <w:rPr>
          <w:sz w:val="24"/>
          <w:szCs w:val="24"/>
        </w:rPr>
      </w:pPr>
      <w:r w:rsidRPr="007A72F6">
        <w:rPr>
          <w:sz w:val="24"/>
          <w:szCs w:val="24"/>
        </w:rPr>
        <w:t>Tallahassee, Florida  32399-2400</w:t>
      </w:r>
    </w:p>
    <w:p w:rsidR="00193F10" w:rsidRPr="001D487F" w:rsidRDefault="000D297A" w:rsidP="00194AA6">
      <w:pPr>
        <w:jc w:val="center"/>
        <w:rPr>
          <w:sz w:val="22"/>
        </w:rPr>
      </w:pPr>
      <w:r w:rsidRPr="000D297A">
        <w:rPr>
          <w:sz w:val="22"/>
          <w:highlight w:val="yellow"/>
        </w:rPr>
        <w:t>October xx</w:t>
      </w:r>
      <w:r w:rsidR="000F1FD7" w:rsidRPr="000D297A">
        <w:rPr>
          <w:sz w:val="22"/>
          <w:highlight w:val="yellow"/>
        </w:rPr>
        <w:t>, 2014</w:t>
      </w:r>
    </w:p>
    <w:p w:rsidR="00193F10" w:rsidRDefault="00193F10" w:rsidP="00194AA6">
      <w:pPr>
        <w:jc w:val="center"/>
        <w:rPr>
          <w:sz w:val="22"/>
        </w:rPr>
      </w:pPr>
    </w:p>
    <w:p w:rsidR="00193F10" w:rsidRPr="00D07B72" w:rsidRDefault="00193F10" w:rsidP="00194AA6">
      <w:pPr>
        <w:jc w:val="center"/>
        <w:rPr>
          <w:sz w:val="22"/>
          <w:szCs w:val="22"/>
        </w:rPr>
      </w:pPr>
    </w:p>
    <w:p w:rsidR="00193F10" w:rsidRDefault="00193F10">
      <w:pPr>
        <w:jc w:val="center"/>
        <w:rPr>
          <w:sz w:val="22"/>
        </w:rPr>
        <w:sectPr w:rsidR="00193F10" w:rsidSect="00955781">
          <w:pgSz w:w="12240" w:h="15840" w:code="1"/>
          <w:pgMar w:top="720" w:right="1080" w:bottom="720" w:left="1080" w:header="720" w:footer="720" w:gutter="0"/>
          <w:paperSrc w:first="15" w:other="15"/>
          <w:pgNumType w:start="1"/>
          <w:cols w:space="720"/>
        </w:sectPr>
      </w:pPr>
    </w:p>
    <w:p w:rsidR="00193F10" w:rsidRPr="007A72F6" w:rsidRDefault="00193F10" w:rsidP="007A72F6">
      <w:pPr>
        <w:pStyle w:val="ListParagraph"/>
        <w:numPr>
          <w:ilvl w:val="0"/>
          <w:numId w:val="15"/>
        </w:numPr>
        <w:spacing w:after="120"/>
        <w:ind w:left="720" w:hanging="720"/>
        <w:contextualSpacing w:val="0"/>
        <w:rPr>
          <w:b/>
          <w:caps/>
          <w:sz w:val="22"/>
          <w:szCs w:val="22"/>
        </w:rPr>
      </w:pPr>
      <w:r w:rsidRPr="007A72F6">
        <w:rPr>
          <w:b/>
          <w:caps/>
          <w:sz w:val="22"/>
        </w:rPr>
        <w:lastRenderedPageBreak/>
        <w:t>General Project INFORMATION</w:t>
      </w:r>
    </w:p>
    <w:p w:rsidR="00EE6112" w:rsidRPr="007A72F6" w:rsidRDefault="00EE6112" w:rsidP="007A72F6">
      <w:pPr>
        <w:pStyle w:val="ListParagraph"/>
        <w:numPr>
          <w:ilvl w:val="1"/>
          <w:numId w:val="15"/>
        </w:numPr>
        <w:spacing w:after="120"/>
        <w:ind w:hanging="792"/>
        <w:contextualSpacing w:val="0"/>
        <w:rPr>
          <w:b/>
          <w:caps/>
          <w:sz w:val="22"/>
          <w:szCs w:val="22"/>
        </w:rPr>
      </w:pPr>
      <w:r w:rsidRPr="007A72F6">
        <w:rPr>
          <w:b/>
          <w:bCs/>
          <w:sz w:val="22"/>
          <w:szCs w:val="22"/>
        </w:rPr>
        <w:t>Air Pollution Regulations</w:t>
      </w:r>
    </w:p>
    <w:p w:rsidR="00EE6112" w:rsidRDefault="00EE6112" w:rsidP="00EE6112">
      <w:pPr>
        <w:spacing w:after="120"/>
        <w:rPr>
          <w:sz w:val="22"/>
          <w:szCs w:val="22"/>
        </w:rPr>
      </w:pPr>
      <w:r>
        <w:rPr>
          <w:sz w:val="22"/>
          <w:szCs w:val="22"/>
        </w:rPr>
        <w:t xml:space="preserve">Projects </w:t>
      </w:r>
      <w:r w:rsidR="004D1D9F">
        <w:rPr>
          <w:sz w:val="22"/>
          <w:szCs w:val="22"/>
        </w:rPr>
        <w:t xml:space="preserve">at stationary sources </w:t>
      </w:r>
      <w:r>
        <w:rPr>
          <w:sz w:val="22"/>
          <w:szCs w:val="22"/>
        </w:rPr>
        <w:t xml:space="preserve">with the potential to emit air pollution are </w:t>
      </w:r>
      <w:r w:rsidRPr="000302D6">
        <w:rPr>
          <w:sz w:val="22"/>
          <w:szCs w:val="22"/>
        </w:rPr>
        <w:t>subject to the applicable environmental laws specified in Section 403 of the Florida Statutes (F.S.)</w:t>
      </w:r>
      <w:r>
        <w:rPr>
          <w:sz w:val="22"/>
          <w:szCs w:val="22"/>
        </w:rPr>
        <w:t xml:space="preserve">.  The statutes </w:t>
      </w:r>
      <w:r w:rsidRPr="000302D6">
        <w:rPr>
          <w:sz w:val="22"/>
          <w:szCs w:val="22"/>
        </w:rPr>
        <w:t>authoriz</w:t>
      </w:r>
      <w:r w:rsidR="000C5143">
        <w:rPr>
          <w:sz w:val="22"/>
          <w:szCs w:val="22"/>
        </w:rPr>
        <w:t>e</w:t>
      </w:r>
      <w:r w:rsidRPr="000302D6">
        <w:rPr>
          <w:sz w:val="22"/>
          <w:szCs w:val="22"/>
        </w:rPr>
        <w:t xml:space="preserve"> the Department of Environmental Protection </w:t>
      </w:r>
      <w:r>
        <w:rPr>
          <w:sz w:val="22"/>
          <w:szCs w:val="22"/>
        </w:rPr>
        <w:t xml:space="preserve">(Department) </w:t>
      </w:r>
      <w:r w:rsidRPr="000302D6">
        <w:rPr>
          <w:sz w:val="22"/>
          <w:szCs w:val="22"/>
        </w:rPr>
        <w:t xml:space="preserve">to establish regulations regarding air quality as part of the Florida Administrative Code (F.A.C.), which includes the following </w:t>
      </w:r>
      <w:r w:rsidR="00701FEF">
        <w:rPr>
          <w:sz w:val="22"/>
          <w:szCs w:val="22"/>
        </w:rPr>
        <w:t xml:space="preserve">applicable </w:t>
      </w:r>
      <w:r w:rsidRPr="000302D6">
        <w:rPr>
          <w:sz w:val="22"/>
          <w:szCs w:val="22"/>
        </w:rPr>
        <w:t>chapters:  62-4 (Permits); 62-204 (Air Pollution Control – General Provisions); 62-210 (Stationary Sources – General Requirements); 62-212 (Stationary Sources</w:t>
      </w:r>
      <w:r w:rsidR="00D51D78" w:rsidRPr="000302D6">
        <w:rPr>
          <w:sz w:val="22"/>
          <w:szCs w:val="22"/>
        </w:rPr>
        <w:t xml:space="preserve"> – </w:t>
      </w:r>
      <w:r w:rsidRPr="000302D6">
        <w:rPr>
          <w:sz w:val="22"/>
          <w:szCs w:val="22"/>
        </w:rPr>
        <w:t>Preconstruction Review); 62-213 (Operation Permits for Major Sources of Air Pollution); 62-296 (Stationary Sources - Emission Standards); and 62-297 (Stationary Sources</w:t>
      </w:r>
      <w:r w:rsidR="00D51D78" w:rsidRPr="000302D6">
        <w:rPr>
          <w:sz w:val="22"/>
          <w:szCs w:val="22"/>
        </w:rPr>
        <w:t xml:space="preserve"> – </w:t>
      </w:r>
      <w:r w:rsidRPr="000302D6">
        <w:rPr>
          <w:sz w:val="22"/>
          <w:szCs w:val="22"/>
        </w:rPr>
        <w:t>Emissions Monitoring).</w:t>
      </w:r>
      <w:r>
        <w:rPr>
          <w:sz w:val="22"/>
          <w:szCs w:val="22"/>
        </w:rPr>
        <w:t xml:space="preserve">  Specifically, air construction permits are required pursuant to </w:t>
      </w:r>
      <w:r w:rsidR="00884EEB">
        <w:rPr>
          <w:sz w:val="22"/>
          <w:szCs w:val="22"/>
        </w:rPr>
        <w:t>Chapters</w:t>
      </w:r>
      <w:r>
        <w:rPr>
          <w:sz w:val="22"/>
          <w:szCs w:val="22"/>
        </w:rPr>
        <w:t xml:space="preserve"> 62-4, 62-210 and 62-212, F.A.C.</w:t>
      </w:r>
    </w:p>
    <w:p w:rsidR="00EE6112" w:rsidRPr="000302D6" w:rsidRDefault="00EE6112" w:rsidP="00EE6112">
      <w:pPr>
        <w:spacing w:after="120"/>
        <w:rPr>
          <w:sz w:val="22"/>
          <w:szCs w:val="22"/>
        </w:rPr>
      </w:pPr>
      <w:r w:rsidRPr="000302D6">
        <w:rPr>
          <w:sz w:val="22"/>
          <w:szCs w:val="22"/>
        </w:rPr>
        <w:t>In addition, the U. S. Environmental Protection Agency (EPA) establishes air quality regulations in Title 40 of the Code of Federal Regulations</w:t>
      </w:r>
      <w:r>
        <w:rPr>
          <w:sz w:val="22"/>
          <w:szCs w:val="22"/>
        </w:rPr>
        <w:t xml:space="preserve"> (CFR).  </w:t>
      </w:r>
      <w:r w:rsidRPr="000302D6">
        <w:rPr>
          <w:sz w:val="22"/>
          <w:szCs w:val="22"/>
        </w:rPr>
        <w:t xml:space="preserve">Part 60 </w:t>
      </w:r>
      <w:r>
        <w:rPr>
          <w:sz w:val="22"/>
          <w:szCs w:val="22"/>
        </w:rPr>
        <w:t>specifies New Source Performance Standards (</w:t>
      </w:r>
      <w:r w:rsidRPr="000302D6">
        <w:rPr>
          <w:sz w:val="22"/>
          <w:szCs w:val="22"/>
        </w:rPr>
        <w:t>NSPS</w:t>
      </w:r>
      <w:r>
        <w:rPr>
          <w:sz w:val="22"/>
          <w:szCs w:val="22"/>
        </w:rPr>
        <w:t>)</w:t>
      </w:r>
      <w:r w:rsidRPr="000302D6">
        <w:rPr>
          <w:sz w:val="22"/>
          <w:szCs w:val="22"/>
        </w:rPr>
        <w:t xml:space="preserve"> for </w:t>
      </w:r>
      <w:r>
        <w:rPr>
          <w:sz w:val="22"/>
          <w:szCs w:val="22"/>
        </w:rPr>
        <w:t xml:space="preserve">numerous </w:t>
      </w:r>
      <w:r w:rsidRPr="000302D6">
        <w:rPr>
          <w:sz w:val="22"/>
          <w:szCs w:val="22"/>
        </w:rPr>
        <w:t xml:space="preserve">industrial </w:t>
      </w:r>
      <w:r w:rsidR="000E42D3" w:rsidRPr="000302D6">
        <w:rPr>
          <w:sz w:val="22"/>
          <w:szCs w:val="22"/>
        </w:rPr>
        <w:t>categories</w:t>
      </w:r>
      <w:r>
        <w:rPr>
          <w:sz w:val="22"/>
          <w:szCs w:val="22"/>
        </w:rPr>
        <w:t xml:space="preserve">.  </w:t>
      </w:r>
      <w:r w:rsidRPr="000302D6">
        <w:rPr>
          <w:sz w:val="22"/>
          <w:szCs w:val="22"/>
        </w:rPr>
        <w:t>Part 61 specifies National Emission Standards for Hazardous Air Pollutants (NESHAP) based on specific pollutants</w:t>
      </w:r>
      <w:r>
        <w:rPr>
          <w:sz w:val="22"/>
          <w:szCs w:val="22"/>
        </w:rPr>
        <w:t xml:space="preserve">.  </w:t>
      </w:r>
      <w:r w:rsidRPr="000302D6">
        <w:rPr>
          <w:sz w:val="22"/>
          <w:szCs w:val="22"/>
        </w:rPr>
        <w:t xml:space="preserve">Part 63 specifies NESHAP based on the Maximum Achievable Control Technology (MACT) for </w:t>
      </w:r>
      <w:r>
        <w:rPr>
          <w:sz w:val="22"/>
          <w:szCs w:val="22"/>
        </w:rPr>
        <w:t xml:space="preserve">numerous </w:t>
      </w:r>
      <w:r w:rsidRPr="000302D6">
        <w:rPr>
          <w:sz w:val="22"/>
          <w:szCs w:val="22"/>
        </w:rPr>
        <w:t>industrial categories.  The Department adopts these federal regulations in Rule 62-204.800, F.A.C.</w:t>
      </w:r>
    </w:p>
    <w:p w:rsidR="00193F10" w:rsidRPr="007A72F6" w:rsidRDefault="00193F10" w:rsidP="007A72F6">
      <w:pPr>
        <w:pStyle w:val="ListParagraph"/>
        <w:numPr>
          <w:ilvl w:val="1"/>
          <w:numId w:val="15"/>
        </w:numPr>
        <w:spacing w:after="120"/>
        <w:ind w:hanging="792"/>
        <w:contextualSpacing w:val="0"/>
        <w:rPr>
          <w:b/>
          <w:bCs/>
          <w:sz w:val="22"/>
          <w:szCs w:val="22"/>
        </w:rPr>
      </w:pPr>
      <w:r w:rsidRPr="007A72F6">
        <w:rPr>
          <w:b/>
          <w:bCs/>
          <w:sz w:val="22"/>
          <w:szCs w:val="22"/>
        </w:rPr>
        <w:t>Facility Description and Location</w:t>
      </w:r>
    </w:p>
    <w:p w:rsidR="000D297A" w:rsidRDefault="000D297A" w:rsidP="004D1D9F">
      <w:pPr>
        <w:pStyle w:val="BodyText3"/>
        <w:numPr>
          <w:ilvl w:val="12"/>
          <w:numId w:val="0"/>
        </w:numPr>
        <w:spacing w:before="0"/>
        <w:rPr>
          <w:szCs w:val="22"/>
        </w:rPr>
      </w:pPr>
      <w:r>
        <w:rPr>
          <w:szCs w:val="22"/>
        </w:rPr>
        <w:t>The</w:t>
      </w:r>
      <w:r w:rsidRPr="000D297A">
        <w:rPr>
          <w:szCs w:val="22"/>
        </w:rPr>
        <w:t xml:space="preserve"> </w:t>
      </w:r>
      <w:r w:rsidR="00480F43" w:rsidRPr="00480F43">
        <w:rPr>
          <w:szCs w:val="22"/>
        </w:rPr>
        <w:t xml:space="preserve">City of Lakeland Electric </w:t>
      </w:r>
      <w:r w:rsidRPr="000D297A">
        <w:rPr>
          <w:szCs w:val="22"/>
        </w:rPr>
        <w:t>C.D. McIntosh</w:t>
      </w:r>
      <w:r>
        <w:rPr>
          <w:szCs w:val="22"/>
        </w:rPr>
        <w:t xml:space="preserve"> Jr. Power Plant</w:t>
      </w:r>
      <w:r w:rsidRPr="000D297A">
        <w:rPr>
          <w:szCs w:val="22"/>
        </w:rPr>
        <w:t xml:space="preserve"> consists of three fossil fuel fired steam generators, three diesel powered engines, and two gas turbines.  Fossil fuel fired steam generator Unit 1 is fired with natural gas, No. 6 fuel oil or on-specification used oil generated by the City of Lakeland.  Fossil fuel fired steam generator Unit 2 is fired with natural gas, propane, No. 2 fuel oil or No. 6 fuel oil.  Fossil fuel fired steam generator 3 is fired with coal, natural gas and petroleum coke.  Gas Turbine Peaking Unit 1 is primarily fired with natural gas or No. 2 fuel oil with a maximum sulfur content of 0.5 percent by weight.  McIntosh Unit 5, a 370 MW combined cycle stationary combustion turbine, is fired with natural gas, or No. 2 or superior grade fuel oil with a maximum sulfur content of 0.05 percent by weight.  The three diesel engines are: a 25 horsepower non-emergency Lister Coal Tunnel Sump diesel engine; a 300 horsepower emergency Fire Water UPS Diesel No. 32 engine; and a 500 horsepower black-start CT Startup Diesel engine.  Also included in this permit are miscellaneous unregulated/insignificant emissions units and/or activities.</w:t>
      </w:r>
    </w:p>
    <w:p w:rsidR="000D297A" w:rsidRDefault="000D297A" w:rsidP="004D1D9F">
      <w:pPr>
        <w:pStyle w:val="BodyText3"/>
        <w:numPr>
          <w:ilvl w:val="12"/>
          <w:numId w:val="0"/>
        </w:numPr>
        <w:spacing w:before="0"/>
      </w:pPr>
      <w:r>
        <w:t xml:space="preserve">A list of the </w:t>
      </w:r>
      <w:r w:rsidR="005B43CD">
        <w:t xml:space="preserve">regulated </w:t>
      </w:r>
      <w:r>
        <w:t xml:space="preserve">emission units (EU) at the </w:t>
      </w:r>
      <w:r w:rsidRPr="000D297A">
        <w:t>C.D. McIntosh Jr. Power Plant</w:t>
      </w:r>
      <w:r>
        <w:t xml:space="preserve"> is given below</w:t>
      </w:r>
      <w:r w:rsidR="003A161D">
        <w:t xml:space="preserve"> in </w:t>
      </w:r>
      <w:r w:rsidR="003A161D" w:rsidRPr="003A161D">
        <w:rPr>
          <w:rFonts w:ascii="Times New Roman Bold" w:hAnsi="Times New Roman Bold"/>
          <w:b/>
        </w:rPr>
        <w:fldChar w:fldCharType="begin"/>
      </w:r>
      <w:r w:rsidR="003A161D" w:rsidRPr="003A161D">
        <w:rPr>
          <w:rFonts w:ascii="Times New Roman Bold" w:hAnsi="Times New Roman Bold"/>
          <w:b/>
        </w:rPr>
        <w:instrText xml:space="preserve"> REF _Ref401057208 \h  \* MERGEFORMAT </w:instrText>
      </w:r>
      <w:r w:rsidR="003A161D" w:rsidRPr="003A161D">
        <w:rPr>
          <w:rFonts w:ascii="Times New Roman Bold" w:hAnsi="Times New Roman Bold"/>
          <w:b/>
        </w:rPr>
      </w:r>
      <w:r w:rsidR="003A161D" w:rsidRPr="003A161D">
        <w:rPr>
          <w:rFonts w:ascii="Times New Roman Bold" w:hAnsi="Times New Roman Bold"/>
          <w:b/>
        </w:rPr>
        <w:fldChar w:fldCharType="separate"/>
      </w:r>
      <w:r w:rsidR="00C25A5E" w:rsidRPr="00C25A5E">
        <w:rPr>
          <w:rFonts w:ascii="Times New Roman Bold" w:hAnsi="Times New Roman Bold"/>
          <w:b/>
          <w:szCs w:val="22"/>
        </w:rPr>
        <w:t xml:space="preserve">Table </w:t>
      </w:r>
      <w:r w:rsidR="00C25A5E" w:rsidRPr="00C25A5E">
        <w:rPr>
          <w:rFonts w:ascii="Times New Roman Bold" w:hAnsi="Times New Roman Bold"/>
          <w:b/>
          <w:noProof/>
          <w:szCs w:val="22"/>
        </w:rPr>
        <w:t>1</w:t>
      </w:r>
      <w:r w:rsidR="003A161D" w:rsidRPr="003A161D">
        <w:rPr>
          <w:rFonts w:ascii="Times New Roman Bold" w:hAnsi="Times New Roman Bold"/>
          <w:b/>
        </w:rPr>
        <w:fldChar w:fldCharType="end"/>
      </w:r>
      <w:r>
        <w:t>.</w:t>
      </w:r>
    </w:p>
    <w:p w:rsidR="00A9297C" w:rsidRPr="000D297A" w:rsidRDefault="000D297A" w:rsidP="000D297A">
      <w:pPr>
        <w:pStyle w:val="Caption"/>
        <w:spacing w:after="120"/>
        <w:jc w:val="center"/>
        <w:rPr>
          <w:rFonts w:ascii="Times New Roman Bold" w:hAnsi="Times New Roman Bold"/>
          <w:caps/>
          <w:sz w:val="22"/>
          <w:szCs w:val="22"/>
        </w:rPr>
      </w:pPr>
      <w:bookmarkStart w:id="0" w:name="_Ref401057208"/>
      <w:r w:rsidRPr="000D297A">
        <w:rPr>
          <w:rFonts w:ascii="Times New Roman Bold" w:hAnsi="Times New Roman Bold"/>
          <w:caps/>
          <w:sz w:val="22"/>
          <w:szCs w:val="22"/>
        </w:rPr>
        <w:t xml:space="preserve">Table </w:t>
      </w:r>
      <w:r w:rsidRPr="000D297A">
        <w:rPr>
          <w:rFonts w:ascii="Times New Roman Bold" w:hAnsi="Times New Roman Bold"/>
          <w:caps/>
          <w:sz w:val="22"/>
          <w:szCs w:val="22"/>
        </w:rPr>
        <w:fldChar w:fldCharType="begin"/>
      </w:r>
      <w:r w:rsidRPr="000D297A">
        <w:rPr>
          <w:rFonts w:ascii="Times New Roman Bold" w:hAnsi="Times New Roman Bold"/>
          <w:caps/>
          <w:sz w:val="22"/>
          <w:szCs w:val="22"/>
        </w:rPr>
        <w:instrText xml:space="preserve"> SEQ Table \* ARABIC </w:instrText>
      </w:r>
      <w:r w:rsidRPr="000D297A">
        <w:rPr>
          <w:rFonts w:ascii="Times New Roman Bold" w:hAnsi="Times New Roman Bold"/>
          <w:caps/>
          <w:sz w:val="22"/>
          <w:szCs w:val="22"/>
        </w:rPr>
        <w:fldChar w:fldCharType="separate"/>
      </w:r>
      <w:r w:rsidR="00C25A5E">
        <w:rPr>
          <w:rFonts w:ascii="Times New Roman Bold" w:hAnsi="Times New Roman Bold"/>
          <w:caps/>
          <w:noProof/>
          <w:sz w:val="22"/>
          <w:szCs w:val="22"/>
        </w:rPr>
        <w:t>1</w:t>
      </w:r>
      <w:r w:rsidRPr="000D297A">
        <w:rPr>
          <w:rFonts w:ascii="Times New Roman Bold" w:hAnsi="Times New Roman Bold"/>
          <w:caps/>
          <w:sz w:val="22"/>
          <w:szCs w:val="22"/>
        </w:rPr>
        <w:fldChar w:fldCharType="end"/>
      </w:r>
      <w:bookmarkEnd w:id="0"/>
      <w:r w:rsidRPr="000D297A">
        <w:rPr>
          <w:rFonts w:ascii="Times New Roman Bold" w:hAnsi="Times New Roman Bold"/>
          <w:caps/>
          <w:sz w:val="22"/>
          <w:szCs w:val="22"/>
        </w:rPr>
        <w:t xml:space="preserve"> </w:t>
      </w:r>
      <w:r>
        <w:rPr>
          <w:rFonts w:ascii="Times New Roman Bold" w:hAnsi="Times New Roman Bold"/>
          <w:caps/>
          <w:sz w:val="22"/>
          <w:szCs w:val="22"/>
        </w:rPr>
        <w:t xml:space="preserve">– </w:t>
      </w:r>
      <w:r w:rsidR="005B43CD">
        <w:rPr>
          <w:rFonts w:ascii="Times New Roman Bold" w:hAnsi="Times New Roman Bold"/>
          <w:caps/>
          <w:sz w:val="22"/>
          <w:szCs w:val="22"/>
        </w:rPr>
        <w:t xml:space="preserve">regulated </w:t>
      </w:r>
      <w:r>
        <w:rPr>
          <w:rFonts w:ascii="Times New Roman Bold" w:hAnsi="Times New Roman Bold"/>
          <w:caps/>
          <w:sz w:val="22"/>
          <w:szCs w:val="22"/>
        </w:rPr>
        <w:t>emission units at the c. d. mci</w:t>
      </w:r>
      <w:r w:rsidR="003A161D">
        <w:rPr>
          <w:rFonts w:ascii="Times New Roman Bold" w:hAnsi="Times New Roman Bold"/>
          <w:caps/>
          <w:sz w:val="22"/>
          <w:szCs w:val="22"/>
        </w:rPr>
        <w:t>n</w:t>
      </w:r>
      <w:r>
        <w:rPr>
          <w:rFonts w:ascii="Times New Roman Bold" w:hAnsi="Times New Roman Bold"/>
          <w:caps/>
          <w:sz w:val="22"/>
          <w:szCs w:val="22"/>
        </w:rPr>
        <w:t>tosh power plant.</w:t>
      </w:r>
    </w:p>
    <w:tbl>
      <w:tblPr>
        <w:tblW w:w="9867"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407"/>
        <w:gridCol w:w="8460"/>
      </w:tblGrid>
      <w:tr w:rsidR="000D297A" w:rsidRPr="000D297A" w:rsidTr="0097764C">
        <w:tc>
          <w:tcPr>
            <w:tcW w:w="1407" w:type="dxa"/>
            <w:tcBorders>
              <w:top w:val="single" w:sz="12" w:space="0" w:color="auto"/>
              <w:bottom w:val="single" w:sz="12" w:space="0" w:color="auto"/>
            </w:tcBorders>
            <w:shd w:val="clear" w:color="auto" w:fill="BDD6EE" w:themeFill="accent1" w:themeFillTint="66"/>
          </w:tcPr>
          <w:p w:rsidR="000D297A" w:rsidRPr="000D297A" w:rsidRDefault="000D297A" w:rsidP="000D297A">
            <w:pPr>
              <w:jc w:val="center"/>
              <w:rPr>
                <w:b/>
                <w:sz w:val="22"/>
                <w:szCs w:val="22"/>
              </w:rPr>
            </w:pPr>
            <w:r w:rsidRPr="000D297A">
              <w:rPr>
                <w:b/>
                <w:sz w:val="22"/>
                <w:szCs w:val="22"/>
              </w:rPr>
              <w:t>E.U. ID No.</w:t>
            </w:r>
          </w:p>
        </w:tc>
        <w:tc>
          <w:tcPr>
            <w:tcW w:w="8460" w:type="dxa"/>
            <w:tcBorders>
              <w:top w:val="single" w:sz="12" w:space="0" w:color="auto"/>
              <w:bottom w:val="single" w:sz="12" w:space="0" w:color="auto"/>
            </w:tcBorders>
            <w:shd w:val="clear" w:color="auto" w:fill="BDD6EE" w:themeFill="accent1" w:themeFillTint="66"/>
          </w:tcPr>
          <w:p w:rsidR="000D297A" w:rsidRPr="000D297A" w:rsidRDefault="000D297A" w:rsidP="000D297A">
            <w:pPr>
              <w:keepNext/>
              <w:outlineLvl w:val="1"/>
              <w:rPr>
                <w:b/>
                <w:sz w:val="22"/>
                <w:szCs w:val="22"/>
              </w:rPr>
            </w:pPr>
            <w:r w:rsidRPr="000D297A">
              <w:rPr>
                <w:b/>
                <w:sz w:val="22"/>
                <w:szCs w:val="22"/>
              </w:rPr>
              <w:t>Brief Description</w:t>
            </w:r>
          </w:p>
        </w:tc>
      </w:tr>
      <w:tr w:rsidR="000D297A" w:rsidRPr="000D297A" w:rsidTr="0097764C">
        <w:tc>
          <w:tcPr>
            <w:tcW w:w="1407" w:type="dxa"/>
          </w:tcPr>
          <w:p w:rsidR="000D297A" w:rsidRPr="000D297A" w:rsidRDefault="000D297A" w:rsidP="000D297A">
            <w:pPr>
              <w:jc w:val="center"/>
              <w:rPr>
                <w:sz w:val="22"/>
              </w:rPr>
            </w:pPr>
            <w:r w:rsidRPr="000D297A">
              <w:rPr>
                <w:sz w:val="22"/>
              </w:rPr>
              <w:t>-001</w:t>
            </w:r>
          </w:p>
        </w:tc>
        <w:tc>
          <w:tcPr>
            <w:tcW w:w="8460" w:type="dxa"/>
          </w:tcPr>
          <w:p w:rsidR="000D297A" w:rsidRPr="000D297A" w:rsidRDefault="000D297A" w:rsidP="000D297A">
            <w:pPr>
              <w:rPr>
                <w:sz w:val="22"/>
              </w:rPr>
            </w:pPr>
            <w:r w:rsidRPr="000D297A">
              <w:rPr>
                <w:sz w:val="22"/>
              </w:rPr>
              <w:t>McIntosh Unit 1 - Fossil Fuel Fired Steam Generator</w:t>
            </w:r>
          </w:p>
        </w:tc>
      </w:tr>
      <w:tr w:rsidR="000D297A" w:rsidRPr="000D297A" w:rsidTr="0097764C">
        <w:tc>
          <w:tcPr>
            <w:tcW w:w="1407" w:type="dxa"/>
            <w:tcBorders>
              <w:bottom w:val="single" w:sz="6" w:space="0" w:color="auto"/>
            </w:tcBorders>
          </w:tcPr>
          <w:p w:rsidR="000D297A" w:rsidRPr="000D297A" w:rsidRDefault="000D297A" w:rsidP="000D297A">
            <w:pPr>
              <w:jc w:val="center"/>
              <w:rPr>
                <w:sz w:val="22"/>
              </w:rPr>
            </w:pPr>
            <w:r w:rsidRPr="000D297A">
              <w:rPr>
                <w:sz w:val="22"/>
              </w:rPr>
              <w:t>-004</w:t>
            </w:r>
          </w:p>
        </w:tc>
        <w:tc>
          <w:tcPr>
            <w:tcW w:w="8460" w:type="dxa"/>
            <w:tcBorders>
              <w:bottom w:val="single" w:sz="6" w:space="0" w:color="auto"/>
            </w:tcBorders>
          </w:tcPr>
          <w:p w:rsidR="000D297A" w:rsidRPr="000D297A" w:rsidRDefault="000D297A" w:rsidP="000D297A">
            <w:pPr>
              <w:rPr>
                <w:sz w:val="22"/>
              </w:rPr>
            </w:pPr>
            <w:r w:rsidRPr="000D297A">
              <w:rPr>
                <w:sz w:val="22"/>
              </w:rPr>
              <w:t>Gas Turbine Peaking Unit 1</w:t>
            </w:r>
          </w:p>
        </w:tc>
      </w:tr>
      <w:tr w:rsidR="000D297A" w:rsidRPr="000D297A" w:rsidTr="0097764C">
        <w:tc>
          <w:tcPr>
            <w:tcW w:w="1407" w:type="dxa"/>
            <w:tcBorders>
              <w:bottom w:val="single" w:sz="6" w:space="0" w:color="auto"/>
            </w:tcBorders>
          </w:tcPr>
          <w:p w:rsidR="000D297A" w:rsidRPr="000D297A" w:rsidRDefault="000D297A" w:rsidP="000D297A">
            <w:pPr>
              <w:jc w:val="center"/>
              <w:rPr>
                <w:sz w:val="22"/>
              </w:rPr>
            </w:pPr>
            <w:r w:rsidRPr="000D297A">
              <w:rPr>
                <w:sz w:val="22"/>
              </w:rPr>
              <w:t>-005</w:t>
            </w:r>
          </w:p>
        </w:tc>
        <w:tc>
          <w:tcPr>
            <w:tcW w:w="8460" w:type="dxa"/>
            <w:tcBorders>
              <w:bottom w:val="single" w:sz="6" w:space="0" w:color="auto"/>
            </w:tcBorders>
          </w:tcPr>
          <w:p w:rsidR="000D297A" w:rsidRPr="000D297A" w:rsidRDefault="000D297A" w:rsidP="000D297A">
            <w:pPr>
              <w:rPr>
                <w:sz w:val="22"/>
              </w:rPr>
            </w:pPr>
            <w:r w:rsidRPr="000D297A">
              <w:rPr>
                <w:sz w:val="22"/>
              </w:rPr>
              <w:t>McIntosh Unit 2 - Fossil Fuel Fired Steam Generator</w:t>
            </w:r>
          </w:p>
        </w:tc>
      </w:tr>
      <w:tr w:rsidR="000D297A" w:rsidRPr="000D297A" w:rsidTr="0097764C">
        <w:tc>
          <w:tcPr>
            <w:tcW w:w="1407" w:type="dxa"/>
            <w:tcBorders>
              <w:bottom w:val="single" w:sz="6" w:space="0" w:color="auto"/>
            </w:tcBorders>
          </w:tcPr>
          <w:p w:rsidR="000D297A" w:rsidRPr="000D297A" w:rsidRDefault="000D297A" w:rsidP="000D297A">
            <w:pPr>
              <w:jc w:val="center"/>
              <w:rPr>
                <w:sz w:val="22"/>
              </w:rPr>
            </w:pPr>
            <w:r w:rsidRPr="000D297A">
              <w:rPr>
                <w:sz w:val="22"/>
              </w:rPr>
              <w:t>-006</w:t>
            </w:r>
          </w:p>
        </w:tc>
        <w:tc>
          <w:tcPr>
            <w:tcW w:w="8460" w:type="dxa"/>
            <w:tcBorders>
              <w:bottom w:val="single" w:sz="6" w:space="0" w:color="auto"/>
            </w:tcBorders>
          </w:tcPr>
          <w:p w:rsidR="000D297A" w:rsidRPr="000D297A" w:rsidRDefault="000D297A" w:rsidP="000D297A">
            <w:pPr>
              <w:rPr>
                <w:sz w:val="22"/>
              </w:rPr>
            </w:pPr>
            <w:r w:rsidRPr="000D297A">
              <w:rPr>
                <w:sz w:val="22"/>
              </w:rPr>
              <w:t>McIntosh Unit 3 - Fossil Fuel Fired Steam Generator</w:t>
            </w:r>
          </w:p>
        </w:tc>
      </w:tr>
      <w:tr w:rsidR="000D297A" w:rsidRPr="000D297A" w:rsidTr="0097764C">
        <w:tc>
          <w:tcPr>
            <w:tcW w:w="1407" w:type="dxa"/>
          </w:tcPr>
          <w:p w:rsidR="000D297A" w:rsidRPr="000D297A" w:rsidRDefault="000D297A" w:rsidP="000D297A">
            <w:pPr>
              <w:jc w:val="center"/>
              <w:rPr>
                <w:sz w:val="22"/>
              </w:rPr>
            </w:pPr>
            <w:r w:rsidRPr="000D297A">
              <w:rPr>
                <w:sz w:val="22"/>
              </w:rPr>
              <w:t>-008</w:t>
            </w:r>
          </w:p>
        </w:tc>
        <w:tc>
          <w:tcPr>
            <w:tcW w:w="8460" w:type="dxa"/>
          </w:tcPr>
          <w:p w:rsidR="000D297A" w:rsidRPr="000D297A" w:rsidRDefault="000D297A" w:rsidP="000D297A">
            <w:pPr>
              <w:rPr>
                <w:sz w:val="22"/>
              </w:rPr>
            </w:pPr>
            <w:r w:rsidRPr="000D297A">
              <w:rPr>
                <w:sz w:val="22"/>
              </w:rPr>
              <w:t>Diesel drive coal tunnel sump engine</w:t>
            </w:r>
          </w:p>
        </w:tc>
      </w:tr>
      <w:tr w:rsidR="000D297A" w:rsidRPr="000D297A" w:rsidTr="0097764C">
        <w:tc>
          <w:tcPr>
            <w:tcW w:w="1407" w:type="dxa"/>
          </w:tcPr>
          <w:p w:rsidR="000D297A" w:rsidRPr="000D297A" w:rsidRDefault="000D297A" w:rsidP="000D297A">
            <w:pPr>
              <w:jc w:val="center"/>
              <w:rPr>
                <w:sz w:val="22"/>
              </w:rPr>
            </w:pPr>
            <w:r w:rsidRPr="000D297A">
              <w:rPr>
                <w:sz w:val="22"/>
              </w:rPr>
              <w:t>-010</w:t>
            </w:r>
          </w:p>
        </w:tc>
        <w:tc>
          <w:tcPr>
            <w:tcW w:w="8460" w:type="dxa"/>
          </w:tcPr>
          <w:p w:rsidR="000D297A" w:rsidRPr="000D297A" w:rsidRDefault="000D297A" w:rsidP="000D297A">
            <w:pPr>
              <w:rPr>
                <w:sz w:val="22"/>
              </w:rPr>
            </w:pPr>
            <w:r w:rsidRPr="000D297A">
              <w:rPr>
                <w:sz w:val="22"/>
              </w:rPr>
              <w:t>Fire water UPS diesel No. 32</w:t>
            </w:r>
          </w:p>
        </w:tc>
      </w:tr>
      <w:tr w:rsidR="000D297A" w:rsidRPr="000D297A" w:rsidTr="0097764C">
        <w:tc>
          <w:tcPr>
            <w:tcW w:w="1407" w:type="dxa"/>
          </w:tcPr>
          <w:p w:rsidR="000D297A" w:rsidRPr="000D297A" w:rsidRDefault="000D297A" w:rsidP="000D297A">
            <w:pPr>
              <w:jc w:val="center"/>
              <w:rPr>
                <w:sz w:val="22"/>
              </w:rPr>
            </w:pPr>
            <w:r w:rsidRPr="000D297A">
              <w:rPr>
                <w:sz w:val="22"/>
              </w:rPr>
              <w:t>-011</w:t>
            </w:r>
          </w:p>
        </w:tc>
        <w:tc>
          <w:tcPr>
            <w:tcW w:w="8460" w:type="dxa"/>
          </w:tcPr>
          <w:p w:rsidR="000D297A" w:rsidRPr="000D297A" w:rsidRDefault="000D297A" w:rsidP="000D297A">
            <w:pPr>
              <w:rPr>
                <w:sz w:val="22"/>
              </w:rPr>
            </w:pPr>
            <w:r w:rsidRPr="000D297A">
              <w:rPr>
                <w:sz w:val="22"/>
              </w:rPr>
              <w:t>CT startup diesel</w:t>
            </w:r>
          </w:p>
        </w:tc>
      </w:tr>
      <w:tr w:rsidR="000D297A" w:rsidRPr="000D297A" w:rsidTr="0097764C">
        <w:tc>
          <w:tcPr>
            <w:tcW w:w="1407" w:type="dxa"/>
            <w:tcBorders>
              <w:top w:val="single" w:sz="6" w:space="0" w:color="auto"/>
              <w:bottom w:val="single" w:sz="12" w:space="0" w:color="auto"/>
            </w:tcBorders>
          </w:tcPr>
          <w:p w:rsidR="000D297A" w:rsidRPr="000D297A" w:rsidRDefault="000D297A" w:rsidP="000D297A">
            <w:pPr>
              <w:jc w:val="center"/>
              <w:rPr>
                <w:sz w:val="22"/>
              </w:rPr>
            </w:pPr>
            <w:r w:rsidRPr="000D297A">
              <w:rPr>
                <w:sz w:val="22"/>
              </w:rPr>
              <w:t>-028</w:t>
            </w:r>
          </w:p>
        </w:tc>
        <w:tc>
          <w:tcPr>
            <w:tcW w:w="8460" w:type="dxa"/>
            <w:tcBorders>
              <w:top w:val="single" w:sz="6" w:space="0" w:color="auto"/>
              <w:bottom w:val="single" w:sz="12" w:space="0" w:color="auto"/>
            </w:tcBorders>
          </w:tcPr>
          <w:p w:rsidR="000D297A" w:rsidRPr="000D297A" w:rsidRDefault="000D297A" w:rsidP="000D297A">
            <w:pPr>
              <w:rPr>
                <w:sz w:val="22"/>
              </w:rPr>
            </w:pPr>
            <w:r w:rsidRPr="000D297A">
              <w:rPr>
                <w:sz w:val="22"/>
              </w:rPr>
              <w:t>McIntosh Unit 5 - 370 MW Combined Cycle Stationary Combustion Turbine</w:t>
            </w:r>
          </w:p>
        </w:tc>
      </w:tr>
    </w:tbl>
    <w:p w:rsidR="00C25A5E" w:rsidRDefault="00C25A5E" w:rsidP="003A161D">
      <w:pPr>
        <w:pStyle w:val="BodyText3"/>
        <w:numPr>
          <w:ilvl w:val="12"/>
          <w:numId w:val="0"/>
        </w:numPr>
      </w:pPr>
      <w:r>
        <w:rPr>
          <w:szCs w:val="22"/>
        </w:rPr>
        <w:t xml:space="preserve">The facility also consists of </w:t>
      </w:r>
      <w:r w:rsidRPr="000D297A">
        <w:rPr>
          <w:szCs w:val="22"/>
        </w:rPr>
        <w:t>miscellaneous unregulated/insignificant emissions units and/or activities.</w:t>
      </w:r>
    </w:p>
    <w:p w:rsidR="004812AF" w:rsidRDefault="003A161D" w:rsidP="003A161D">
      <w:pPr>
        <w:pStyle w:val="BodyText3"/>
        <w:numPr>
          <w:ilvl w:val="12"/>
          <w:numId w:val="0"/>
        </w:numPr>
      </w:pPr>
      <w:r w:rsidRPr="003A161D">
        <w:t xml:space="preserve">The existing C. D. McIntosh, Jr. Power Plant is located at 3030 East Lake Parker Drive, Lakeland, in Polk County.  UTM Coordinates are:  Zone 17, 409.0 </w:t>
      </w:r>
      <w:r>
        <w:t>kilometers (</w:t>
      </w:r>
      <w:r w:rsidRPr="003A161D">
        <w:t>km</w:t>
      </w:r>
      <w:r>
        <w:t>)</w:t>
      </w:r>
      <w:r w:rsidRPr="003A161D">
        <w:t xml:space="preserve"> East and 3106.2 km North.  Latitude is:  28</w:t>
      </w:r>
      <w:r w:rsidRPr="003A161D">
        <w:fldChar w:fldCharType="begin"/>
      </w:r>
      <w:r w:rsidRPr="003A161D">
        <w:instrText>symbol 176 \f "Symbol" \s 11</w:instrText>
      </w:r>
      <w:r w:rsidRPr="003A161D">
        <w:fldChar w:fldCharType="end"/>
      </w:r>
      <w:r w:rsidRPr="003A161D">
        <w:t xml:space="preserve"> 04’ 50” North; and, Longitude is:  81</w:t>
      </w:r>
      <w:r w:rsidRPr="003A161D">
        <w:fldChar w:fldCharType="begin"/>
      </w:r>
      <w:r w:rsidRPr="003A161D">
        <w:instrText>symbol 176 \f "Symbol" \s 11</w:instrText>
      </w:r>
      <w:r w:rsidRPr="003A161D">
        <w:fldChar w:fldCharType="end"/>
      </w:r>
      <w:r w:rsidRPr="003A161D">
        <w:t xml:space="preserve"> 55’ 32” West.</w:t>
      </w:r>
      <w:r w:rsidR="00F54C3F" w:rsidRPr="00DF0A05">
        <w:t xml:space="preserve">  This site is in an area that is in attainment (or designated as</w:t>
      </w:r>
      <w:r w:rsidR="00F54C3F">
        <w:t xml:space="preserve"> </w:t>
      </w:r>
      <w:r w:rsidR="00F54C3F">
        <w:lastRenderedPageBreak/>
        <w:t xml:space="preserve">unclassifiable) for all air pollutants subject to state and federal Ambient Air Quality Standards (AAQS).  </w:t>
      </w:r>
      <w:r w:rsidR="007A72F6" w:rsidRPr="007A72F6">
        <w:rPr>
          <w:b/>
        </w:rPr>
        <w:fldChar w:fldCharType="begin"/>
      </w:r>
      <w:r w:rsidR="007A72F6" w:rsidRPr="007A72F6">
        <w:rPr>
          <w:b/>
        </w:rPr>
        <w:instrText xml:space="preserve"> REF _Ref383669152 \h </w:instrText>
      </w:r>
      <w:r w:rsidR="007A72F6">
        <w:rPr>
          <w:b/>
        </w:rPr>
        <w:instrText xml:space="preserve"> \* MERGEFORMAT </w:instrText>
      </w:r>
      <w:r w:rsidR="007A72F6" w:rsidRPr="007A72F6">
        <w:rPr>
          <w:b/>
        </w:rPr>
      </w:r>
      <w:r w:rsidR="007A72F6" w:rsidRPr="007A72F6">
        <w:rPr>
          <w:b/>
        </w:rPr>
        <w:fldChar w:fldCharType="separate"/>
      </w:r>
      <w:r w:rsidR="00C25A5E" w:rsidRPr="00C25A5E">
        <w:rPr>
          <w:b/>
          <w:szCs w:val="22"/>
        </w:rPr>
        <w:t xml:space="preserve">Figure </w:t>
      </w:r>
      <w:r w:rsidR="00C25A5E" w:rsidRPr="00C25A5E">
        <w:rPr>
          <w:b/>
          <w:noProof/>
          <w:szCs w:val="22"/>
        </w:rPr>
        <w:t>1</w:t>
      </w:r>
      <w:r w:rsidR="007A72F6" w:rsidRPr="007A72F6">
        <w:rPr>
          <w:b/>
        </w:rPr>
        <w:fldChar w:fldCharType="end"/>
      </w:r>
      <w:r w:rsidR="007A72F6">
        <w:t xml:space="preserve"> </w:t>
      </w:r>
      <w:r w:rsidR="00F54C3F">
        <w:t xml:space="preserve">shows the location of </w:t>
      </w:r>
      <w:r w:rsidR="005B43CD">
        <w:t>C. D. McIntosh Power Plant</w:t>
      </w:r>
      <w:r w:rsidR="00F54C3F">
        <w:t xml:space="preserve"> in Florida while </w:t>
      </w:r>
      <w:r w:rsidR="007A72F6" w:rsidRPr="007A72F6">
        <w:rPr>
          <w:b/>
        </w:rPr>
        <w:fldChar w:fldCharType="begin"/>
      </w:r>
      <w:r w:rsidR="007A72F6" w:rsidRPr="007A72F6">
        <w:rPr>
          <w:b/>
        </w:rPr>
        <w:instrText xml:space="preserve"> REF _Ref383669170 \h </w:instrText>
      </w:r>
      <w:r w:rsidR="007A72F6">
        <w:rPr>
          <w:b/>
        </w:rPr>
        <w:instrText xml:space="preserve"> \* MERGEFORMAT </w:instrText>
      </w:r>
      <w:r w:rsidR="007A72F6" w:rsidRPr="007A72F6">
        <w:rPr>
          <w:b/>
        </w:rPr>
      </w:r>
      <w:r w:rsidR="007A72F6" w:rsidRPr="007A72F6">
        <w:rPr>
          <w:b/>
        </w:rPr>
        <w:fldChar w:fldCharType="separate"/>
      </w:r>
      <w:r w:rsidR="00C25A5E" w:rsidRPr="00C25A5E">
        <w:rPr>
          <w:b/>
          <w:szCs w:val="22"/>
        </w:rPr>
        <w:t xml:space="preserve">Figure </w:t>
      </w:r>
      <w:r w:rsidR="00C25A5E" w:rsidRPr="00C25A5E">
        <w:rPr>
          <w:b/>
          <w:noProof/>
          <w:szCs w:val="22"/>
        </w:rPr>
        <w:t>2</w:t>
      </w:r>
      <w:r w:rsidR="007A72F6" w:rsidRPr="007A72F6">
        <w:rPr>
          <w:b/>
        </w:rPr>
        <w:fldChar w:fldCharType="end"/>
      </w:r>
      <w:r w:rsidR="00F54C3F">
        <w:t xml:space="preserve"> shows a view of the </w:t>
      </w:r>
      <w:r w:rsidR="005B43CD" w:rsidRPr="005B43CD">
        <w:t>C. D. McIntosh Power Plant</w:t>
      </w:r>
      <w:r w:rsidR="00F54C3F">
        <w:t>.</w:t>
      </w:r>
      <w:r w:rsidR="00480F43">
        <w:t xml:space="preserve">  A satellite view of the power plant is given in </w:t>
      </w:r>
      <w:r w:rsidR="00480F43" w:rsidRPr="00480F43">
        <w:rPr>
          <w:b/>
        </w:rPr>
        <w:fldChar w:fldCharType="begin"/>
      </w:r>
      <w:r w:rsidR="00480F43" w:rsidRPr="00480F43">
        <w:rPr>
          <w:b/>
        </w:rPr>
        <w:instrText xml:space="preserve"> REF _Ref401058575 \h </w:instrText>
      </w:r>
      <w:r w:rsidR="00480F43">
        <w:rPr>
          <w:b/>
        </w:rPr>
        <w:instrText xml:space="preserve"> \* MERGEFORMAT </w:instrText>
      </w:r>
      <w:r w:rsidR="00480F43" w:rsidRPr="00480F43">
        <w:rPr>
          <w:b/>
        </w:rPr>
      </w:r>
      <w:r w:rsidR="00480F43" w:rsidRPr="00480F43">
        <w:rPr>
          <w:b/>
        </w:rPr>
        <w:fldChar w:fldCharType="separate"/>
      </w:r>
      <w:r w:rsidR="00C25A5E" w:rsidRPr="00C25A5E">
        <w:rPr>
          <w:b/>
          <w:szCs w:val="22"/>
        </w:rPr>
        <w:t xml:space="preserve">Figure </w:t>
      </w:r>
      <w:r w:rsidR="00C25A5E" w:rsidRPr="00C25A5E">
        <w:rPr>
          <w:b/>
          <w:noProof/>
          <w:szCs w:val="22"/>
        </w:rPr>
        <w:t>3</w:t>
      </w:r>
      <w:r w:rsidR="00480F43" w:rsidRPr="00480F43">
        <w:rPr>
          <w:b/>
        </w:rPr>
        <w:fldChar w:fldCharType="end"/>
      </w:r>
      <w:r w:rsidR="00480F43">
        <w:t xml:space="preserve"> below.</w:t>
      </w:r>
    </w:p>
    <w:p w:rsidR="00F03811" w:rsidRDefault="003A161D" w:rsidP="005B43CD">
      <w:pPr>
        <w:pStyle w:val="BodyText3"/>
        <w:numPr>
          <w:ilvl w:val="12"/>
          <w:numId w:val="0"/>
        </w:numPr>
        <w:tabs>
          <w:tab w:val="left" w:pos="4770"/>
        </w:tabs>
        <w:spacing w:before="0"/>
        <w:rPr>
          <w:szCs w:val="22"/>
        </w:rPr>
      </w:pPr>
      <w:r w:rsidRPr="003A161D">
        <w:rPr>
          <w:noProof/>
        </w:rPr>
        <w:drawing>
          <wp:inline distT="0" distB="0" distL="0" distR="0" wp14:anchorId="41EC87E3" wp14:editId="2A25D620">
            <wp:extent cx="2911450" cy="2160511"/>
            <wp:effectExtent l="19050" t="19050" r="22860" b="1143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a:extLst>
                        <a:ext uri="{28A0092B-C50C-407E-A947-70E740481C1C}">
                          <a14:useLocalDpi xmlns:a14="http://schemas.microsoft.com/office/drawing/2010/main" val="0"/>
                        </a:ext>
                      </a:extLst>
                    </a:blip>
                    <a:srcRect t="10446"/>
                    <a:stretch/>
                  </pic:blipFill>
                  <pic:spPr bwMode="auto">
                    <a:xfrm>
                      <a:off x="0" y="0"/>
                      <a:ext cx="2933044" cy="2176535"/>
                    </a:xfrm>
                    <a:prstGeom prst="rect">
                      <a:avLst/>
                    </a:prstGeom>
                    <a:noFill/>
                    <a:ln w="19050">
                      <a:solidFill>
                        <a:schemeClr val="tx1"/>
                      </a:solidFill>
                    </a:ln>
                    <a:extLst>
                      <a:ext uri="{53640926-AAD7-44D8-BBD7-CCE9431645EC}">
                        <a14:shadowObscured xmlns:a14="http://schemas.microsoft.com/office/drawing/2010/main"/>
                      </a:ext>
                    </a:extLst>
                  </pic:spPr>
                </pic:pic>
              </a:graphicData>
            </a:graphic>
          </wp:inline>
        </w:drawing>
      </w:r>
      <w:r w:rsidR="004D7A07" w:rsidRPr="004D7A07">
        <w:rPr>
          <w:szCs w:val="22"/>
        </w:rPr>
        <w:t xml:space="preserve"> </w:t>
      </w:r>
      <w:r w:rsidR="005B43CD">
        <w:rPr>
          <w:szCs w:val="22"/>
        </w:rPr>
        <w:tab/>
      </w:r>
      <w:r w:rsidR="005B43CD">
        <w:rPr>
          <w:noProof/>
        </w:rPr>
        <w:drawing>
          <wp:inline distT="0" distB="0" distL="0" distR="0" wp14:anchorId="0894481E" wp14:editId="3B9F6D1B">
            <wp:extent cx="3269894" cy="2179929"/>
            <wp:effectExtent l="19050" t="19050" r="26035" b="1143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cintosh.jpg"/>
                    <pic:cNvPicPr/>
                  </pic:nvPicPr>
                  <pic:blipFill>
                    <a:blip r:embed="rId10">
                      <a:extLst>
                        <a:ext uri="{28A0092B-C50C-407E-A947-70E740481C1C}">
                          <a14:useLocalDpi xmlns:a14="http://schemas.microsoft.com/office/drawing/2010/main" val="0"/>
                        </a:ext>
                      </a:extLst>
                    </a:blip>
                    <a:stretch>
                      <a:fillRect/>
                    </a:stretch>
                  </pic:blipFill>
                  <pic:spPr>
                    <a:xfrm>
                      <a:off x="0" y="0"/>
                      <a:ext cx="3313685" cy="2209123"/>
                    </a:xfrm>
                    <a:prstGeom prst="rect">
                      <a:avLst/>
                    </a:prstGeom>
                    <a:ln w="19050">
                      <a:solidFill>
                        <a:schemeClr val="tx1"/>
                      </a:solidFill>
                    </a:ln>
                  </pic:spPr>
                </pic:pic>
              </a:graphicData>
            </a:graphic>
          </wp:inline>
        </w:drawing>
      </w:r>
    </w:p>
    <w:p w:rsidR="004D7A07" w:rsidRPr="007A72F6" w:rsidRDefault="007A72F6" w:rsidP="00480F43">
      <w:pPr>
        <w:pStyle w:val="Caption"/>
        <w:tabs>
          <w:tab w:val="left" w:pos="5130"/>
        </w:tabs>
        <w:spacing w:after="120"/>
        <w:rPr>
          <w:sz w:val="22"/>
          <w:szCs w:val="22"/>
        </w:rPr>
      </w:pPr>
      <w:bookmarkStart w:id="1" w:name="_Ref383669152"/>
      <w:r w:rsidRPr="007A72F6">
        <w:rPr>
          <w:sz w:val="22"/>
          <w:szCs w:val="22"/>
        </w:rPr>
        <w:t xml:space="preserve">Figure </w:t>
      </w:r>
      <w:r w:rsidRPr="007A72F6">
        <w:rPr>
          <w:sz w:val="22"/>
          <w:szCs w:val="22"/>
        </w:rPr>
        <w:fldChar w:fldCharType="begin"/>
      </w:r>
      <w:r w:rsidRPr="007A72F6">
        <w:rPr>
          <w:sz w:val="22"/>
          <w:szCs w:val="22"/>
        </w:rPr>
        <w:instrText xml:space="preserve"> SEQ Figure \* ARABIC </w:instrText>
      </w:r>
      <w:r w:rsidRPr="007A72F6">
        <w:rPr>
          <w:sz w:val="22"/>
          <w:szCs w:val="22"/>
        </w:rPr>
        <w:fldChar w:fldCharType="separate"/>
      </w:r>
      <w:r w:rsidR="00C25A5E">
        <w:rPr>
          <w:noProof/>
          <w:sz w:val="22"/>
          <w:szCs w:val="22"/>
        </w:rPr>
        <w:t>1</w:t>
      </w:r>
      <w:r w:rsidRPr="007A72F6">
        <w:rPr>
          <w:sz w:val="22"/>
          <w:szCs w:val="22"/>
        </w:rPr>
        <w:fldChar w:fldCharType="end"/>
      </w:r>
      <w:bookmarkEnd w:id="1"/>
      <w:r w:rsidR="004D7A07" w:rsidRPr="007A72F6">
        <w:rPr>
          <w:sz w:val="22"/>
          <w:szCs w:val="22"/>
        </w:rPr>
        <w:t xml:space="preserve">.  Location of </w:t>
      </w:r>
      <w:r w:rsidR="00480F43">
        <w:rPr>
          <w:sz w:val="22"/>
          <w:szCs w:val="22"/>
        </w:rPr>
        <w:t>C. D. McIntosh Power Plant</w:t>
      </w:r>
      <w:r w:rsidR="004D7A07" w:rsidRPr="007A72F6">
        <w:rPr>
          <w:sz w:val="22"/>
          <w:szCs w:val="22"/>
        </w:rPr>
        <w:t>.</w:t>
      </w:r>
      <w:r w:rsidR="004D7A07" w:rsidRPr="007A72F6">
        <w:rPr>
          <w:sz w:val="22"/>
          <w:szCs w:val="22"/>
        </w:rPr>
        <w:tab/>
      </w:r>
      <w:bookmarkStart w:id="2" w:name="_Ref383669170"/>
      <w:r w:rsidRPr="007A72F6">
        <w:rPr>
          <w:sz w:val="22"/>
          <w:szCs w:val="22"/>
        </w:rPr>
        <w:t xml:space="preserve">Figure </w:t>
      </w:r>
      <w:r w:rsidRPr="007A72F6">
        <w:rPr>
          <w:sz w:val="22"/>
          <w:szCs w:val="22"/>
        </w:rPr>
        <w:fldChar w:fldCharType="begin"/>
      </w:r>
      <w:r w:rsidRPr="007A72F6">
        <w:rPr>
          <w:sz w:val="22"/>
          <w:szCs w:val="22"/>
        </w:rPr>
        <w:instrText xml:space="preserve"> SEQ Figure \* ARABIC </w:instrText>
      </w:r>
      <w:r w:rsidRPr="007A72F6">
        <w:rPr>
          <w:sz w:val="22"/>
          <w:szCs w:val="22"/>
        </w:rPr>
        <w:fldChar w:fldCharType="separate"/>
      </w:r>
      <w:r w:rsidR="00C25A5E">
        <w:rPr>
          <w:noProof/>
          <w:sz w:val="22"/>
          <w:szCs w:val="22"/>
        </w:rPr>
        <w:t>2</w:t>
      </w:r>
      <w:r w:rsidRPr="007A72F6">
        <w:rPr>
          <w:sz w:val="22"/>
          <w:szCs w:val="22"/>
        </w:rPr>
        <w:fldChar w:fldCharType="end"/>
      </w:r>
      <w:bookmarkEnd w:id="2"/>
      <w:r w:rsidR="004D7A07" w:rsidRPr="007A72F6">
        <w:rPr>
          <w:sz w:val="22"/>
          <w:szCs w:val="22"/>
        </w:rPr>
        <w:t xml:space="preserve">.  </w:t>
      </w:r>
      <w:r w:rsidR="00480F43">
        <w:rPr>
          <w:sz w:val="22"/>
          <w:szCs w:val="22"/>
        </w:rPr>
        <w:t>View of C. D. McIntosh Power Plant</w:t>
      </w:r>
      <w:r w:rsidR="004D7A07" w:rsidRPr="007A72F6">
        <w:rPr>
          <w:sz w:val="22"/>
          <w:szCs w:val="22"/>
        </w:rPr>
        <w:t>.</w:t>
      </w:r>
    </w:p>
    <w:p w:rsidR="005B43CD" w:rsidRDefault="005B43CD" w:rsidP="00480F43">
      <w:pPr>
        <w:pStyle w:val="BodyText3"/>
        <w:numPr>
          <w:ilvl w:val="12"/>
          <w:numId w:val="0"/>
        </w:numPr>
        <w:spacing w:before="0"/>
        <w:jc w:val="center"/>
        <w:rPr>
          <w:szCs w:val="22"/>
        </w:rPr>
      </w:pPr>
      <w:r>
        <w:rPr>
          <w:noProof/>
        </w:rPr>
        <w:drawing>
          <wp:inline distT="0" distB="0" distL="0" distR="0" wp14:anchorId="6E298636" wp14:editId="4A0ECAEA">
            <wp:extent cx="5943600" cy="3159760"/>
            <wp:effectExtent l="19050" t="19050" r="19050" b="215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val="0"/>
                        </a:ext>
                      </a:extLst>
                    </a:blip>
                    <a:srcRect b="9957"/>
                    <a:stretch/>
                  </pic:blipFill>
                  <pic:spPr bwMode="auto">
                    <a:xfrm>
                      <a:off x="0" y="0"/>
                      <a:ext cx="5943600" cy="3159760"/>
                    </a:xfrm>
                    <a:prstGeom prst="rect">
                      <a:avLst/>
                    </a:prstGeom>
                    <a:ln w="19050">
                      <a:solidFill>
                        <a:schemeClr val="tx1"/>
                      </a:solidFill>
                    </a:ln>
                    <a:extLst>
                      <a:ext uri="{53640926-AAD7-44D8-BBD7-CCE9431645EC}">
                        <a14:shadowObscured xmlns:a14="http://schemas.microsoft.com/office/drawing/2010/main"/>
                      </a:ext>
                    </a:extLst>
                  </pic:spPr>
                </pic:pic>
              </a:graphicData>
            </a:graphic>
          </wp:inline>
        </w:drawing>
      </w:r>
    </w:p>
    <w:p w:rsidR="005B43CD" w:rsidRPr="00480F43" w:rsidRDefault="00480F43" w:rsidP="00480F43">
      <w:pPr>
        <w:pStyle w:val="Caption"/>
        <w:spacing w:before="120" w:after="120"/>
        <w:jc w:val="center"/>
        <w:rPr>
          <w:sz w:val="22"/>
          <w:szCs w:val="22"/>
        </w:rPr>
      </w:pPr>
      <w:bookmarkStart w:id="3" w:name="_Ref401058575"/>
      <w:r w:rsidRPr="00480F43">
        <w:rPr>
          <w:sz w:val="22"/>
          <w:szCs w:val="22"/>
        </w:rPr>
        <w:t xml:space="preserve">Figure </w:t>
      </w:r>
      <w:r w:rsidRPr="00480F43">
        <w:rPr>
          <w:sz w:val="22"/>
          <w:szCs w:val="22"/>
        </w:rPr>
        <w:fldChar w:fldCharType="begin"/>
      </w:r>
      <w:r w:rsidRPr="00480F43">
        <w:rPr>
          <w:sz w:val="22"/>
          <w:szCs w:val="22"/>
        </w:rPr>
        <w:instrText xml:space="preserve"> SEQ Figure \* ARABIC </w:instrText>
      </w:r>
      <w:r w:rsidRPr="00480F43">
        <w:rPr>
          <w:sz w:val="22"/>
          <w:szCs w:val="22"/>
        </w:rPr>
        <w:fldChar w:fldCharType="separate"/>
      </w:r>
      <w:r w:rsidR="00C25A5E">
        <w:rPr>
          <w:noProof/>
          <w:sz w:val="22"/>
          <w:szCs w:val="22"/>
        </w:rPr>
        <w:t>3</w:t>
      </w:r>
      <w:r w:rsidRPr="00480F43">
        <w:rPr>
          <w:sz w:val="22"/>
          <w:szCs w:val="22"/>
        </w:rPr>
        <w:fldChar w:fldCharType="end"/>
      </w:r>
      <w:bookmarkEnd w:id="3"/>
      <w:r w:rsidRPr="00480F43">
        <w:rPr>
          <w:sz w:val="22"/>
          <w:szCs w:val="22"/>
        </w:rPr>
        <w:t>.  Satellite View of C. D. McIntosh Power Plant.</w:t>
      </w:r>
    </w:p>
    <w:p w:rsidR="00193F10" w:rsidRPr="00A9297C" w:rsidRDefault="001C4E37" w:rsidP="00A9297C">
      <w:pPr>
        <w:pStyle w:val="ListParagraph"/>
        <w:numPr>
          <w:ilvl w:val="1"/>
          <w:numId w:val="15"/>
        </w:numPr>
        <w:spacing w:after="120"/>
        <w:ind w:hanging="792"/>
        <w:contextualSpacing w:val="0"/>
        <w:rPr>
          <w:b/>
          <w:bCs/>
          <w:sz w:val="22"/>
          <w:szCs w:val="22"/>
        </w:rPr>
      </w:pPr>
      <w:r w:rsidRPr="00A9297C">
        <w:rPr>
          <w:b/>
          <w:bCs/>
          <w:sz w:val="22"/>
          <w:szCs w:val="22"/>
        </w:rPr>
        <w:t xml:space="preserve">Facility </w:t>
      </w:r>
      <w:r w:rsidR="00193F10" w:rsidRPr="00A9297C">
        <w:rPr>
          <w:b/>
          <w:bCs/>
          <w:sz w:val="22"/>
          <w:szCs w:val="22"/>
        </w:rPr>
        <w:t>Regulatory Categories</w:t>
      </w:r>
    </w:p>
    <w:p w:rsidR="00F71458" w:rsidRPr="00795F8B" w:rsidRDefault="00F71458" w:rsidP="00480F43">
      <w:pPr>
        <w:numPr>
          <w:ilvl w:val="0"/>
          <w:numId w:val="3"/>
        </w:numPr>
        <w:spacing w:after="60"/>
        <w:rPr>
          <w:sz w:val="22"/>
          <w:szCs w:val="22"/>
        </w:rPr>
      </w:pPr>
      <w:r w:rsidRPr="00795F8B">
        <w:rPr>
          <w:sz w:val="22"/>
          <w:szCs w:val="22"/>
        </w:rPr>
        <w:t xml:space="preserve">The facility </w:t>
      </w:r>
      <w:r w:rsidR="00795F8B" w:rsidRPr="00795F8B">
        <w:rPr>
          <w:sz w:val="22"/>
          <w:szCs w:val="22"/>
        </w:rPr>
        <w:t>is</w:t>
      </w:r>
      <w:r w:rsidRPr="00795F8B">
        <w:rPr>
          <w:sz w:val="22"/>
          <w:szCs w:val="22"/>
        </w:rPr>
        <w:t xml:space="preserve"> a major source of hazardous air pollutants (HAP).</w:t>
      </w:r>
    </w:p>
    <w:p w:rsidR="00F71458" w:rsidRPr="00795F8B" w:rsidRDefault="00F71458" w:rsidP="00480F43">
      <w:pPr>
        <w:pStyle w:val="BodyText"/>
        <w:numPr>
          <w:ilvl w:val="0"/>
          <w:numId w:val="3"/>
        </w:numPr>
        <w:spacing w:after="60"/>
        <w:rPr>
          <w:sz w:val="22"/>
          <w:szCs w:val="22"/>
        </w:rPr>
      </w:pPr>
      <w:r w:rsidRPr="00795F8B">
        <w:rPr>
          <w:sz w:val="22"/>
          <w:szCs w:val="22"/>
        </w:rPr>
        <w:t xml:space="preserve">The facility </w:t>
      </w:r>
      <w:r w:rsidR="00302267" w:rsidRPr="00795F8B">
        <w:rPr>
          <w:sz w:val="22"/>
          <w:szCs w:val="22"/>
        </w:rPr>
        <w:t xml:space="preserve">operates </w:t>
      </w:r>
      <w:r w:rsidRPr="00795F8B">
        <w:rPr>
          <w:sz w:val="22"/>
          <w:szCs w:val="22"/>
        </w:rPr>
        <w:t>units subject to the acid rain provisions of the Clean Air Act.</w:t>
      </w:r>
    </w:p>
    <w:p w:rsidR="00F71458" w:rsidRDefault="00F71458" w:rsidP="00480F43">
      <w:pPr>
        <w:numPr>
          <w:ilvl w:val="0"/>
          <w:numId w:val="3"/>
        </w:numPr>
        <w:spacing w:after="60"/>
        <w:rPr>
          <w:sz w:val="22"/>
          <w:szCs w:val="22"/>
        </w:rPr>
      </w:pPr>
      <w:r w:rsidRPr="00795F8B">
        <w:rPr>
          <w:sz w:val="22"/>
          <w:szCs w:val="22"/>
        </w:rPr>
        <w:t>The facility is a Title V major source</w:t>
      </w:r>
      <w:r w:rsidRPr="00877418">
        <w:rPr>
          <w:sz w:val="22"/>
          <w:szCs w:val="22"/>
        </w:rPr>
        <w:t xml:space="preserve"> of air pollution in accordance with Chapter </w:t>
      </w:r>
      <w:r w:rsidR="00884EEB">
        <w:rPr>
          <w:sz w:val="22"/>
          <w:szCs w:val="22"/>
        </w:rPr>
        <w:t>62-</w:t>
      </w:r>
      <w:r w:rsidRPr="00877418">
        <w:rPr>
          <w:sz w:val="22"/>
          <w:szCs w:val="22"/>
        </w:rPr>
        <w:t xml:space="preserve">213, </w:t>
      </w:r>
      <w:r w:rsidR="00A9297C">
        <w:rPr>
          <w:sz w:val="22"/>
          <w:szCs w:val="22"/>
        </w:rPr>
        <w:t>Florida Administrative Code (</w:t>
      </w:r>
      <w:r w:rsidRPr="00877418">
        <w:rPr>
          <w:sz w:val="22"/>
          <w:szCs w:val="22"/>
        </w:rPr>
        <w:t>F.A.C</w:t>
      </w:r>
      <w:r w:rsidR="00A9297C">
        <w:rPr>
          <w:sz w:val="22"/>
          <w:szCs w:val="22"/>
        </w:rPr>
        <w:t>)</w:t>
      </w:r>
      <w:r w:rsidRPr="00877418">
        <w:rPr>
          <w:sz w:val="22"/>
          <w:szCs w:val="22"/>
        </w:rPr>
        <w:t>.</w:t>
      </w:r>
    </w:p>
    <w:p w:rsidR="00795F8B" w:rsidRDefault="00795F8B" w:rsidP="00480F43">
      <w:pPr>
        <w:numPr>
          <w:ilvl w:val="0"/>
          <w:numId w:val="3"/>
        </w:numPr>
        <w:spacing w:after="60"/>
        <w:rPr>
          <w:sz w:val="22"/>
          <w:szCs w:val="22"/>
        </w:rPr>
      </w:pPr>
      <w:r w:rsidRPr="00C216B1">
        <w:rPr>
          <w:sz w:val="22"/>
          <w:szCs w:val="22"/>
        </w:rPr>
        <w:t xml:space="preserve">The facility is a </w:t>
      </w:r>
      <w:r>
        <w:rPr>
          <w:sz w:val="22"/>
          <w:szCs w:val="22"/>
        </w:rPr>
        <w:t xml:space="preserve">Prevention of Significant Deterioration (PSD) </w:t>
      </w:r>
      <w:r w:rsidRPr="00C216B1">
        <w:rPr>
          <w:sz w:val="22"/>
          <w:szCs w:val="22"/>
        </w:rPr>
        <w:t xml:space="preserve">major stationary source </w:t>
      </w:r>
      <w:r>
        <w:rPr>
          <w:sz w:val="22"/>
          <w:szCs w:val="22"/>
        </w:rPr>
        <w:t xml:space="preserve">of air pollution </w:t>
      </w:r>
      <w:r w:rsidRPr="00C216B1">
        <w:rPr>
          <w:sz w:val="22"/>
          <w:szCs w:val="22"/>
        </w:rPr>
        <w:t>in accordance with Rule 62-212.400, F.A.C.</w:t>
      </w:r>
    </w:p>
    <w:p w:rsidR="00795F8B" w:rsidRDefault="00795F8B" w:rsidP="00480F43">
      <w:pPr>
        <w:pStyle w:val="ListParagraph"/>
        <w:numPr>
          <w:ilvl w:val="0"/>
          <w:numId w:val="3"/>
        </w:numPr>
        <w:autoSpaceDE w:val="0"/>
        <w:autoSpaceDN w:val="0"/>
        <w:adjustRightInd w:val="0"/>
        <w:spacing w:after="60"/>
        <w:contextualSpacing w:val="0"/>
        <w:rPr>
          <w:sz w:val="22"/>
          <w:szCs w:val="22"/>
        </w:rPr>
      </w:pPr>
      <w:r>
        <w:rPr>
          <w:sz w:val="22"/>
          <w:szCs w:val="22"/>
        </w:rPr>
        <w:t xml:space="preserve">The facility operates units subject to the New Source Performance Standards (NSPS) of </w:t>
      </w:r>
      <w:r w:rsidR="00A9297C">
        <w:rPr>
          <w:sz w:val="22"/>
          <w:szCs w:val="22"/>
        </w:rPr>
        <w:t xml:space="preserve">Title </w:t>
      </w:r>
      <w:r>
        <w:rPr>
          <w:sz w:val="22"/>
          <w:szCs w:val="22"/>
        </w:rPr>
        <w:t xml:space="preserve">40 </w:t>
      </w:r>
      <w:r w:rsidR="004A31B6">
        <w:rPr>
          <w:sz w:val="22"/>
          <w:szCs w:val="22"/>
        </w:rPr>
        <w:t>Code of F</w:t>
      </w:r>
      <w:r w:rsidR="00A9297C">
        <w:rPr>
          <w:sz w:val="22"/>
          <w:szCs w:val="22"/>
        </w:rPr>
        <w:t xml:space="preserve">ederal </w:t>
      </w:r>
      <w:r w:rsidR="004A31B6">
        <w:rPr>
          <w:sz w:val="22"/>
          <w:szCs w:val="22"/>
        </w:rPr>
        <w:t>R</w:t>
      </w:r>
      <w:r w:rsidR="00A9297C">
        <w:rPr>
          <w:sz w:val="22"/>
          <w:szCs w:val="22"/>
        </w:rPr>
        <w:t>egulations (</w:t>
      </w:r>
      <w:r>
        <w:rPr>
          <w:sz w:val="22"/>
          <w:szCs w:val="22"/>
        </w:rPr>
        <w:t>CFR</w:t>
      </w:r>
      <w:r w:rsidR="00A9297C">
        <w:rPr>
          <w:sz w:val="22"/>
          <w:szCs w:val="22"/>
        </w:rPr>
        <w:t>) Part</w:t>
      </w:r>
      <w:r>
        <w:rPr>
          <w:sz w:val="22"/>
          <w:szCs w:val="22"/>
        </w:rPr>
        <w:t xml:space="preserve"> 60.</w:t>
      </w:r>
    </w:p>
    <w:p w:rsidR="00A9297C" w:rsidRPr="00D01205" w:rsidRDefault="00A9297C" w:rsidP="00480F43">
      <w:pPr>
        <w:pStyle w:val="ListParagraph"/>
        <w:numPr>
          <w:ilvl w:val="0"/>
          <w:numId w:val="3"/>
        </w:numPr>
        <w:autoSpaceDE w:val="0"/>
        <w:autoSpaceDN w:val="0"/>
        <w:adjustRightInd w:val="0"/>
        <w:spacing w:after="60"/>
        <w:contextualSpacing w:val="0"/>
        <w:rPr>
          <w:sz w:val="22"/>
          <w:szCs w:val="22"/>
        </w:rPr>
      </w:pPr>
      <w:r>
        <w:rPr>
          <w:sz w:val="22"/>
          <w:szCs w:val="22"/>
        </w:rPr>
        <w:lastRenderedPageBreak/>
        <w:t>The facility operates units subject to the National Emission Standards for Hazardous Air Pollutants (NESHAP) of 40 CFR Part 6</w:t>
      </w:r>
      <w:r w:rsidR="004A31B6">
        <w:rPr>
          <w:sz w:val="22"/>
          <w:szCs w:val="22"/>
        </w:rPr>
        <w:t>3</w:t>
      </w:r>
      <w:r>
        <w:rPr>
          <w:sz w:val="22"/>
          <w:szCs w:val="22"/>
        </w:rPr>
        <w:t>.</w:t>
      </w:r>
    </w:p>
    <w:p w:rsidR="00480F43" w:rsidRPr="00480F43" w:rsidRDefault="00795F8B" w:rsidP="00480F43">
      <w:pPr>
        <w:pStyle w:val="ListParagraph"/>
        <w:numPr>
          <w:ilvl w:val="0"/>
          <w:numId w:val="3"/>
        </w:numPr>
        <w:autoSpaceDE w:val="0"/>
        <w:autoSpaceDN w:val="0"/>
        <w:adjustRightInd w:val="0"/>
        <w:spacing w:before="120" w:after="120"/>
        <w:contextualSpacing w:val="0"/>
        <w:rPr>
          <w:sz w:val="22"/>
          <w:szCs w:val="22"/>
        </w:rPr>
      </w:pPr>
      <w:r w:rsidRPr="00D01205">
        <w:rPr>
          <w:sz w:val="22"/>
          <w:szCs w:val="22"/>
        </w:rPr>
        <w:t>The facility is subject to the Federal Clean Air Interstat</w:t>
      </w:r>
      <w:r>
        <w:rPr>
          <w:sz w:val="22"/>
          <w:szCs w:val="22"/>
        </w:rPr>
        <w:t xml:space="preserve">e Rule (CAIR) as implemented by FDEP in </w:t>
      </w:r>
      <w:r w:rsidR="000F1FD7">
        <w:rPr>
          <w:sz w:val="22"/>
          <w:szCs w:val="22"/>
        </w:rPr>
        <w:t>Rule</w:t>
      </w:r>
      <w:r>
        <w:rPr>
          <w:sz w:val="22"/>
          <w:szCs w:val="22"/>
        </w:rPr>
        <w:t xml:space="preserve"> </w:t>
      </w:r>
      <w:r w:rsidRPr="00D01205">
        <w:rPr>
          <w:sz w:val="22"/>
          <w:szCs w:val="22"/>
        </w:rPr>
        <w:t>62-296.470, F</w:t>
      </w:r>
      <w:r>
        <w:rPr>
          <w:sz w:val="22"/>
          <w:szCs w:val="22"/>
        </w:rPr>
        <w:t>.A.C.</w:t>
      </w:r>
    </w:p>
    <w:p w:rsidR="00795F8B" w:rsidRPr="00A9297C" w:rsidRDefault="00795F8B" w:rsidP="00A9297C">
      <w:pPr>
        <w:pStyle w:val="ListParagraph"/>
        <w:numPr>
          <w:ilvl w:val="1"/>
          <w:numId w:val="15"/>
        </w:numPr>
        <w:spacing w:after="120"/>
        <w:ind w:hanging="792"/>
        <w:contextualSpacing w:val="0"/>
        <w:rPr>
          <w:b/>
          <w:bCs/>
          <w:sz w:val="22"/>
          <w:szCs w:val="22"/>
        </w:rPr>
      </w:pPr>
      <w:r w:rsidRPr="00A9297C">
        <w:rPr>
          <w:b/>
          <w:bCs/>
          <w:sz w:val="22"/>
          <w:szCs w:val="22"/>
        </w:rPr>
        <w:t>Project Description</w:t>
      </w:r>
    </w:p>
    <w:p w:rsidR="0097764C" w:rsidRDefault="00795F8B" w:rsidP="0097764C">
      <w:pPr>
        <w:pStyle w:val="Heading9"/>
        <w:keepNext w:val="0"/>
        <w:widowControl w:val="0"/>
        <w:ind w:left="0"/>
        <w:rPr>
          <w:u w:val="none"/>
        </w:rPr>
      </w:pPr>
      <w:r w:rsidRPr="00A9297C">
        <w:rPr>
          <w:u w:val="none"/>
        </w:rPr>
        <w:t xml:space="preserve">On </w:t>
      </w:r>
      <w:r w:rsidR="00480F43">
        <w:rPr>
          <w:u w:val="none"/>
        </w:rPr>
        <w:t xml:space="preserve">October </w:t>
      </w:r>
      <w:r w:rsidR="008A6D0B" w:rsidRPr="00A9297C">
        <w:rPr>
          <w:u w:val="none"/>
        </w:rPr>
        <w:t>8, 201</w:t>
      </w:r>
      <w:r w:rsidR="00480F43">
        <w:rPr>
          <w:u w:val="none"/>
        </w:rPr>
        <w:t>4</w:t>
      </w:r>
      <w:r w:rsidRPr="00A9297C">
        <w:rPr>
          <w:u w:val="none"/>
        </w:rPr>
        <w:t xml:space="preserve">, the Department received an application from </w:t>
      </w:r>
      <w:r w:rsidR="00480F43" w:rsidRPr="00480F43">
        <w:rPr>
          <w:u w:val="none"/>
        </w:rPr>
        <w:t>City of Lakeland Electric</w:t>
      </w:r>
      <w:r w:rsidR="0097764C">
        <w:rPr>
          <w:u w:val="none"/>
        </w:rPr>
        <w:t xml:space="preserve"> (LE)</w:t>
      </w:r>
      <w:r w:rsidR="00480F43" w:rsidRPr="00480F43">
        <w:rPr>
          <w:u w:val="none"/>
        </w:rPr>
        <w:t xml:space="preserve"> </w:t>
      </w:r>
      <w:r w:rsidR="007217AB">
        <w:rPr>
          <w:u w:val="none"/>
        </w:rPr>
        <w:t xml:space="preserve">to </w:t>
      </w:r>
      <w:r w:rsidR="0097764C" w:rsidRPr="0097764C">
        <w:rPr>
          <w:u w:val="none"/>
        </w:rPr>
        <w:t>conduct mercury</w:t>
      </w:r>
      <w:r w:rsidR="007217AB">
        <w:rPr>
          <w:u w:val="none"/>
        </w:rPr>
        <w:t xml:space="preserve"> (Hg)</w:t>
      </w:r>
      <w:r w:rsidR="0097764C" w:rsidRPr="0097764C">
        <w:rPr>
          <w:u w:val="none"/>
        </w:rPr>
        <w:t xml:space="preserve"> emissions reduction system </w:t>
      </w:r>
      <w:r w:rsidR="00DD39DC" w:rsidRPr="0097764C">
        <w:rPr>
          <w:u w:val="none"/>
        </w:rPr>
        <w:t xml:space="preserve">testing </w:t>
      </w:r>
      <w:r w:rsidR="007217AB">
        <w:rPr>
          <w:u w:val="none"/>
        </w:rPr>
        <w:t>on</w:t>
      </w:r>
      <w:r w:rsidR="0097764C">
        <w:rPr>
          <w:u w:val="none"/>
        </w:rPr>
        <w:t xml:space="preserve"> </w:t>
      </w:r>
      <w:r w:rsidR="0097764C" w:rsidRPr="0097764C">
        <w:rPr>
          <w:u w:val="none"/>
        </w:rPr>
        <w:t xml:space="preserve">fossil fuel-fired steam generator Unit 3 (EU 006) at the </w:t>
      </w:r>
      <w:r w:rsidR="007217AB">
        <w:rPr>
          <w:u w:val="none"/>
        </w:rPr>
        <w:t xml:space="preserve">C. D. </w:t>
      </w:r>
      <w:r w:rsidR="0097764C" w:rsidRPr="0097764C">
        <w:rPr>
          <w:u w:val="none"/>
        </w:rPr>
        <w:t>McIntosh Power Plant</w:t>
      </w:r>
      <w:r w:rsidR="0097764C">
        <w:rPr>
          <w:u w:val="none"/>
        </w:rPr>
        <w:t xml:space="preserve">.  </w:t>
      </w:r>
      <w:r w:rsidR="00543D0B">
        <w:rPr>
          <w:u w:val="none"/>
        </w:rPr>
        <w:t>LE</w:t>
      </w:r>
      <w:r w:rsidR="0097764C" w:rsidRPr="0097764C">
        <w:rPr>
          <w:u w:val="none"/>
        </w:rPr>
        <w:t xml:space="preserve"> is requesting </w:t>
      </w:r>
      <w:r w:rsidR="007217AB">
        <w:rPr>
          <w:u w:val="none"/>
        </w:rPr>
        <w:t xml:space="preserve">an </w:t>
      </w:r>
      <w:r w:rsidR="0097764C" w:rsidRPr="0097764C">
        <w:rPr>
          <w:u w:val="none"/>
        </w:rPr>
        <w:t>exemption</w:t>
      </w:r>
      <w:r w:rsidR="0097764C">
        <w:rPr>
          <w:u w:val="none"/>
        </w:rPr>
        <w:t xml:space="preserve"> </w:t>
      </w:r>
      <w:r w:rsidR="0097764C" w:rsidRPr="0097764C">
        <w:rPr>
          <w:u w:val="none"/>
        </w:rPr>
        <w:t xml:space="preserve">from the requirement to obtain an air construction (AC) permit for </w:t>
      </w:r>
      <w:r w:rsidR="007217AB">
        <w:rPr>
          <w:u w:val="none"/>
        </w:rPr>
        <w:t>this</w:t>
      </w:r>
      <w:r w:rsidR="0097764C" w:rsidRPr="0097764C">
        <w:rPr>
          <w:u w:val="none"/>
        </w:rPr>
        <w:t xml:space="preserve"> testing. </w:t>
      </w:r>
      <w:r w:rsidR="0097764C">
        <w:rPr>
          <w:u w:val="none"/>
        </w:rPr>
        <w:t xml:space="preserve"> </w:t>
      </w:r>
      <w:r w:rsidR="0097764C" w:rsidRPr="0097764C">
        <w:rPr>
          <w:u w:val="none"/>
        </w:rPr>
        <w:t>McIntosh Unit 3 is subject</w:t>
      </w:r>
      <w:r w:rsidR="0097764C">
        <w:rPr>
          <w:u w:val="none"/>
        </w:rPr>
        <w:t xml:space="preserve"> </w:t>
      </w:r>
      <w:r w:rsidR="0097764C" w:rsidRPr="0097764C">
        <w:rPr>
          <w:u w:val="none"/>
        </w:rPr>
        <w:t>to the Mercury and Air Toxics Standard (MATS) beginning April 16, 2015 and in preparation for that, LE is</w:t>
      </w:r>
      <w:r w:rsidR="0097764C">
        <w:rPr>
          <w:u w:val="none"/>
        </w:rPr>
        <w:t xml:space="preserve"> </w:t>
      </w:r>
      <w:r w:rsidR="0097764C" w:rsidRPr="0097764C">
        <w:rPr>
          <w:u w:val="none"/>
        </w:rPr>
        <w:t>exploring Hg mitigation measures</w:t>
      </w:r>
      <w:r w:rsidR="007217AB">
        <w:rPr>
          <w:u w:val="none"/>
        </w:rPr>
        <w:t xml:space="preserve">.  The </w:t>
      </w:r>
      <w:r w:rsidR="007217AB">
        <w:rPr>
          <w:u w:val="none"/>
        </w:rPr>
        <w:t>Hg</w:t>
      </w:r>
      <w:r w:rsidR="007217AB" w:rsidRPr="0097764C">
        <w:rPr>
          <w:u w:val="none"/>
        </w:rPr>
        <w:t xml:space="preserve"> emissions reduction system testing</w:t>
      </w:r>
      <w:r w:rsidR="0097764C" w:rsidRPr="0097764C">
        <w:rPr>
          <w:u w:val="none"/>
        </w:rPr>
        <w:t xml:space="preserve"> </w:t>
      </w:r>
      <w:r w:rsidR="007217AB">
        <w:rPr>
          <w:u w:val="none"/>
        </w:rPr>
        <w:t>purpose is to explorer</w:t>
      </w:r>
      <w:r w:rsidR="0097764C" w:rsidRPr="0097764C">
        <w:rPr>
          <w:u w:val="none"/>
        </w:rPr>
        <w:t xml:space="preserve"> engineering </w:t>
      </w:r>
      <w:r w:rsidR="007217AB">
        <w:rPr>
          <w:u w:val="none"/>
        </w:rPr>
        <w:t>solution and their</w:t>
      </w:r>
      <w:r w:rsidR="0097764C" w:rsidRPr="0097764C">
        <w:rPr>
          <w:u w:val="none"/>
        </w:rPr>
        <w:t xml:space="preserve"> effectiveness</w:t>
      </w:r>
      <w:r w:rsidR="007217AB">
        <w:rPr>
          <w:u w:val="none"/>
        </w:rPr>
        <w:t xml:space="preserve"> in reducing Hg emission from Unit 3.  These engineering solution consist</w:t>
      </w:r>
      <w:r w:rsidR="0097764C" w:rsidRPr="0097764C">
        <w:rPr>
          <w:u w:val="none"/>
        </w:rPr>
        <w:t xml:space="preserve"> of</w:t>
      </w:r>
      <w:r w:rsidR="0097764C">
        <w:rPr>
          <w:u w:val="none"/>
        </w:rPr>
        <w:t xml:space="preserve"> </w:t>
      </w:r>
      <w:r w:rsidR="0097764C" w:rsidRPr="0097764C">
        <w:rPr>
          <w:u w:val="none"/>
        </w:rPr>
        <w:t>injecting halogen based additives such as calcium bromide (CaBr</w:t>
      </w:r>
      <w:r w:rsidR="0097764C" w:rsidRPr="0050765F">
        <w:rPr>
          <w:u w:val="none"/>
          <w:vertAlign w:val="subscript"/>
        </w:rPr>
        <w:t>2</w:t>
      </w:r>
      <w:r w:rsidR="0097764C" w:rsidRPr="0097764C">
        <w:rPr>
          <w:u w:val="none"/>
        </w:rPr>
        <w:t xml:space="preserve">) into Unit 3’s coal feeders. </w:t>
      </w:r>
      <w:r w:rsidR="0097764C">
        <w:rPr>
          <w:u w:val="none"/>
        </w:rPr>
        <w:t xml:space="preserve"> </w:t>
      </w:r>
      <w:r w:rsidR="007217AB">
        <w:rPr>
          <w:u w:val="none"/>
        </w:rPr>
        <w:t>In addition, t</w:t>
      </w:r>
      <w:r w:rsidR="0097764C" w:rsidRPr="0097764C">
        <w:rPr>
          <w:u w:val="none"/>
        </w:rPr>
        <w:t>he</w:t>
      </w:r>
      <w:r w:rsidR="0097764C">
        <w:rPr>
          <w:u w:val="none"/>
        </w:rPr>
        <w:t xml:space="preserve"> </w:t>
      </w:r>
      <w:r w:rsidR="0097764C" w:rsidRPr="0097764C">
        <w:rPr>
          <w:u w:val="none"/>
        </w:rPr>
        <w:t>injection of halogen based additives will be followed by injection of sodium hydrosulfide (NaHS), a sulfidedonating</w:t>
      </w:r>
      <w:r w:rsidR="0097764C">
        <w:rPr>
          <w:u w:val="none"/>
        </w:rPr>
        <w:t xml:space="preserve"> </w:t>
      </w:r>
      <w:r w:rsidR="0097764C" w:rsidRPr="0097764C">
        <w:rPr>
          <w:u w:val="none"/>
        </w:rPr>
        <w:t xml:space="preserve">liquid agent into the suction side of the recirculating pumps of the </w:t>
      </w:r>
      <w:r w:rsidR="0050765F">
        <w:rPr>
          <w:u w:val="none"/>
        </w:rPr>
        <w:t xml:space="preserve">wet </w:t>
      </w:r>
      <w:r w:rsidR="0097764C" w:rsidRPr="0097764C">
        <w:rPr>
          <w:u w:val="none"/>
        </w:rPr>
        <w:t>flue gas desulfurization (</w:t>
      </w:r>
      <w:r w:rsidR="0050765F">
        <w:rPr>
          <w:u w:val="none"/>
        </w:rPr>
        <w:t>W</w:t>
      </w:r>
      <w:r w:rsidR="0097764C" w:rsidRPr="0097764C">
        <w:rPr>
          <w:u w:val="none"/>
        </w:rPr>
        <w:t>FGD)</w:t>
      </w:r>
      <w:r w:rsidR="0097764C">
        <w:rPr>
          <w:u w:val="none"/>
        </w:rPr>
        <w:t xml:space="preserve"> </w:t>
      </w:r>
      <w:r w:rsidR="0097764C" w:rsidRPr="0097764C">
        <w:rPr>
          <w:u w:val="none"/>
        </w:rPr>
        <w:t>system</w:t>
      </w:r>
      <w:r w:rsidR="007217AB">
        <w:rPr>
          <w:u w:val="none"/>
        </w:rPr>
        <w:t xml:space="preserve"> on Unit 3</w:t>
      </w:r>
      <w:r w:rsidR="0097764C" w:rsidRPr="0097764C">
        <w:rPr>
          <w:u w:val="none"/>
        </w:rPr>
        <w:t>.</w:t>
      </w:r>
    </w:p>
    <w:p w:rsidR="00543D0B" w:rsidRDefault="0097764C" w:rsidP="0097764C">
      <w:pPr>
        <w:pStyle w:val="Heading9"/>
        <w:keepNext w:val="0"/>
        <w:widowControl w:val="0"/>
        <w:ind w:left="0"/>
        <w:rPr>
          <w:u w:val="none"/>
        </w:rPr>
      </w:pPr>
      <w:r>
        <w:rPr>
          <w:u w:val="none"/>
        </w:rPr>
        <w:t>According to LE</w:t>
      </w:r>
      <w:r w:rsidR="00543D0B">
        <w:rPr>
          <w:u w:val="none"/>
        </w:rPr>
        <w:t>:</w:t>
      </w:r>
    </w:p>
    <w:p w:rsidR="0097764C" w:rsidRPr="00543D0B" w:rsidRDefault="00543D0B" w:rsidP="0097764C">
      <w:pPr>
        <w:pStyle w:val="Heading9"/>
        <w:keepNext w:val="0"/>
        <w:widowControl w:val="0"/>
        <w:ind w:left="0"/>
        <w:rPr>
          <w:i/>
          <w:u w:val="none"/>
        </w:rPr>
      </w:pPr>
      <w:r>
        <w:rPr>
          <w:i/>
          <w:u w:val="none"/>
        </w:rPr>
        <w:t>“</w:t>
      </w:r>
      <w:r w:rsidRPr="00543D0B">
        <w:rPr>
          <w:i/>
          <w:u w:val="none"/>
        </w:rPr>
        <w:t>….</w:t>
      </w:r>
      <w:r w:rsidR="0097764C" w:rsidRPr="00543D0B">
        <w:rPr>
          <w:i/>
          <w:u w:val="none"/>
        </w:rPr>
        <w:t>based on engineering design data, these processes would provide adequate reduction in mercury emissions to meet the MATS standard of 1.2 lb per trillion British Thermal Units (lb/TBtu) with sufficient margin and therefore, plans to conduct testing over a sufficient period of time to accumulate enough mercury data to determine what chemical feed rates are necessary to adequately reduce mercury emissions.</w:t>
      </w:r>
      <w:r>
        <w:rPr>
          <w:i/>
          <w:u w:val="none"/>
        </w:rPr>
        <w:t>”</w:t>
      </w:r>
    </w:p>
    <w:p w:rsidR="00543D0B" w:rsidRDefault="00543D0B" w:rsidP="0097764C">
      <w:pPr>
        <w:pStyle w:val="Heading9"/>
        <w:keepNext w:val="0"/>
        <w:widowControl w:val="0"/>
        <w:ind w:left="0"/>
        <w:rPr>
          <w:u w:val="none"/>
        </w:rPr>
      </w:pPr>
      <w:r>
        <w:rPr>
          <w:u w:val="none"/>
        </w:rPr>
        <w:t>A description of the process as described by LE is as follows:</w:t>
      </w:r>
    </w:p>
    <w:p w:rsidR="0097764C" w:rsidRDefault="00543D0B" w:rsidP="0097764C">
      <w:pPr>
        <w:pStyle w:val="Heading9"/>
        <w:keepNext w:val="0"/>
        <w:widowControl w:val="0"/>
        <w:ind w:left="0"/>
        <w:rPr>
          <w:u w:val="none"/>
        </w:rPr>
      </w:pPr>
      <w:r w:rsidRPr="00543D0B">
        <w:rPr>
          <w:i/>
          <w:u w:val="none"/>
        </w:rPr>
        <w:t>“</w:t>
      </w:r>
      <w:r w:rsidR="0097764C" w:rsidRPr="00543D0B">
        <w:rPr>
          <w:i/>
          <w:u w:val="none"/>
        </w:rPr>
        <w:t>LE proposes to inject NaHS into the existing wet flue gas desulfurization system, where the ionic mercury will react with HS- ion to form</w:t>
      </w:r>
      <w:r w:rsidRPr="00543D0B">
        <w:rPr>
          <w:i/>
          <w:u w:val="none"/>
        </w:rPr>
        <w:t xml:space="preserve"> </w:t>
      </w:r>
      <w:r w:rsidR="0097764C" w:rsidRPr="00543D0B">
        <w:rPr>
          <w:i/>
          <w:u w:val="none"/>
        </w:rPr>
        <w:t xml:space="preserve">mercury sulfide (HgS), a solid insoluble compound. </w:t>
      </w:r>
      <w:r w:rsidRPr="00543D0B">
        <w:rPr>
          <w:i/>
          <w:u w:val="none"/>
        </w:rPr>
        <w:t xml:space="preserve"> </w:t>
      </w:r>
      <w:r w:rsidR="0097764C" w:rsidRPr="00543D0B">
        <w:rPr>
          <w:i/>
          <w:u w:val="none"/>
        </w:rPr>
        <w:t>The generation of HgS will be limited by the amount</w:t>
      </w:r>
      <w:r w:rsidRPr="00543D0B">
        <w:rPr>
          <w:i/>
          <w:u w:val="none"/>
        </w:rPr>
        <w:t xml:space="preserve"> </w:t>
      </w:r>
      <w:r w:rsidR="0097764C" w:rsidRPr="00543D0B">
        <w:rPr>
          <w:i/>
          <w:u w:val="none"/>
        </w:rPr>
        <w:t xml:space="preserve">of mercury in the coal, which is very small. </w:t>
      </w:r>
      <w:r w:rsidRPr="00543D0B">
        <w:rPr>
          <w:i/>
          <w:u w:val="none"/>
        </w:rPr>
        <w:t xml:space="preserve"> </w:t>
      </w:r>
      <w:r w:rsidR="0097764C" w:rsidRPr="00543D0B">
        <w:rPr>
          <w:i/>
          <w:u w:val="none"/>
        </w:rPr>
        <w:t xml:space="preserve">Based on an assumed maximum mercury content of 0.2 </w:t>
      </w:r>
      <w:r w:rsidRPr="00543D0B">
        <w:rPr>
          <w:i/>
          <w:u w:val="none"/>
        </w:rPr>
        <w:t>parts per million (</w:t>
      </w:r>
      <w:r w:rsidR="0097764C" w:rsidRPr="00543D0B">
        <w:rPr>
          <w:i/>
          <w:u w:val="none"/>
        </w:rPr>
        <w:t>ppm</w:t>
      </w:r>
      <w:r w:rsidRPr="00543D0B">
        <w:rPr>
          <w:i/>
          <w:u w:val="none"/>
        </w:rPr>
        <w:t xml:space="preserve">) </w:t>
      </w:r>
      <w:r w:rsidR="0097764C" w:rsidRPr="00543D0B">
        <w:rPr>
          <w:i/>
          <w:u w:val="none"/>
        </w:rPr>
        <w:t xml:space="preserve">and the maximum coal firing rate of 331,000 lb/hr (Title V </w:t>
      </w:r>
      <w:r w:rsidRPr="00543D0B">
        <w:rPr>
          <w:i/>
          <w:u w:val="none"/>
        </w:rPr>
        <w:t xml:space="preserve">Permit No. </w:t>
      </w:r>
      <w:r w:rsidRPr="00543D0B">
        <w:rPr>
          <w:bCs/>
          <w:i/>
          <w:u w:val="none"/>
        </w:rPr>
        <w:t>1050004-033-AV</w:t>
      </w:r>
      <w:r w:rsidR="0097764C" w:rsidRPr="00543D0B">
        <w:rPr>
          <w:i/>
          <w:u w:val="none"/>
        </w:rPr>
        <w:t>), the</w:t>
      </w:r>
      <w:r w:rsidRPr="00543D0B">
        <w:rPr>
          <w:i/>
          <w:u w:val="none"/>
        </w:rPr>
        <w:t xml:space="preserve"> </w:t>
      </w:r>
      <w:r w:rsidR="0097764C" w:rsidRPr="00543D0B">
        <w:rPr>
          <w:i/>
          <w:u w:val="none"/>
        </w:rPr>
        <w:t xml:space="preserve">amount of HgS formed will be insignificant (&lt;0.1 lb/hr). </w:t>
      </w:r>
      <w:r w:rsidRPr="00543D0B">
        <w:rPr>
          <w:i/>
          <w:u w:val="none"/>
        </w:rPr>
        <w:t xml:space="preserve"> </w:t>
      </w:r>
      <w:r w:rsidR="0097764C" w:rsidRPr="00543D0B">
        <w:rPr>
          <w:i/>
          <w:u w:val="none"/>
        </w:rPr>
        <w:t>Some of the HgS could potentially be emitted as</w:t>
      </w:r>
      <w:r w:rsidRPr="00543D0B">
        <w:rPr>
          <w:i/>
          <w:u w:val="none"/>
        </w:rPr>
        <w:t xml:space="preserve"> </w:t>
      </w:r>
      <w:r w:rsidR="0097764C" w:rsidRPr="00543D0B">
        <w:rPr>
          <w:i/>
          <w:u w:val="none"/>
        </w:rPr>
        <w:t>particulate matter (PM) in aerosol droplets formed from the scrubber solution and entrained in the flue</w:t>
      </w:r>
      <w:r w:rsidRPr="00543D0B">
        <w:rPr>
          <w:i/>
          <w:u w:val="none"/>
        </w:rPr>
        <w:t xml:space="preserve"> </w:t>
      </w:r>
      <w:r w:rsidR="0097764C" w:rsidRPr="00543D0B">
        <w:rPr>
          <w:i/>
          <w:u w:val="none"/>
        </w:rPr>
        <w:t xml:space="preserve">gas. </w:t>
      </w:r>
      <w:r w:rsidRPr="00543D0B">
        <w:rPr>
          <w:i/>
          <w:u w:val="none"/>
        </w:rPr>
        <w:t xml:space="preserve"> </w:t>
      </w:r>
      <w:r w:rsidR="0097764C" w:rsidRPr="00543D0B">
        <w:rPr>
          <w:i/>
          <w:u w:val="none"/>
        </w:rPr>
        <w:t xml:space="preserve">The vast majority of these aerosols are captured in mist eliminator portion of the scrubber. </w:t>
      </w:r>
      <w:r w:rsidRPr="00543D0B">
        <w:rPr>
          <w:i/>
          <w:u w:val="none"/>
        </w:rPr>
        <w:t xml:space="preserve"> </w:t>
      </w:r>
      <w:r w:rsidR="0097764C" w:rsidRPr="00543D0B">
        <w:rPr>
          <w:i/>
          <w:u w:val="none"/>
        </w:rPr>
        <w:t>Using a</w:t>
      </w:r>
      <w:r w:rsidRPr="00543D0B">
        <w:rPr>
          <w:i/>
          <w:u w:val="none"/>
        </w:rPr>
        <w:t xml:space="preserve"> </w:t>
      </w:r>
      <w:r w:rsidR="0097764C" w:rsidRPr="00543D0B">
        <w:rPr>
          <w:i/>
          <w:u w:val="none"/>
        </w:rPr>
        <w:t>mist eliminator efficiency of 99.9% (typical efficiency higher than 99.9%), the maximum estimated</w:t>
      </w:r>
      <w:r w:rsidRPr="00543D0B">
        <w:rPr>
          <w:i/>
          <w:u w:val="none"/>
        </w:rPr>
        <w:t xml:space="preserve"> </w:t>
      </w:r>
      <w:r w:rsidR="0097764C" w:rsidRPr="00543D0B">
        <w:rPr>
          <w:i/>
          <w:u w:val="none"/>
        </w:rPr>
        <w:t>potential increase in PM</w:t>
      </w:r>
      <w:r w:rsidR="0097764C" w:rsidRPr="00FB2C2C">
        <w:rPr>
          <w:i/>
          <w:u w:val="none"/>
          <w:vertAlign w:val="subscript"/>
        </w:rPr>
        <w:t>1</w:t>
      </w:r>
      <w:r w:rsidR="0097764C" w:rsidRPr="00D969BA">
        <w:rPr>
          <w:i/>
          <w:u w:val="none"/>
          <w:vertAlign w:val="subscript"/>
        </w:rPr>
        <w:t>0</w:t>
      </w:r>
      <w:r w:rsidR="0097764C" w:rsidRPr="00543D0B">
        <w:rPr>
          <w:i/>
          <w:u w:val="none"/>
        </w:rPr>
        <w:t xml:space="preserve"> and PM</w:t>
      </w:r>
      <w:r w:rsidR="0097764C" w:rsidRPr="00FB2C2C">
        <w:rPr>
          <w:i/>
          <w:u w:val="none"/>
          <w:vertAlign w:val="subscript"/>
        </w:rPr>
        <w:t>2.5</w:t>
      </w:r>
      <w:r w:rsidR="0097764C" w:rsidRPr="00543D0B">
        <w:rPr>
          <w:i/>
          <w:u w:val="none"/>
        </w:rPr>
        <w:t xml:space="preserve"> emissions from McIntosh Unit 3 is estimated to be less than</w:t>
      </w:r>
      <w:r w:rsidRPr="00543D0B">
        <w:rPr>
          <w:i/>
          <w:u w:val="none"/>
        </w:rPr>
        <w:t xml:space="preserve"> </w:t>
      </w:r>
      <w:r w:rsidR="0097764C" w:rsidRPr="00543D0B">
        <w:rPr>
          <w:i/>
          <w:u w:val="none"/>
        </w:rPr>
        <w:t xml:space="preserve">0.00002 ton/yr </w:t>
      </w:r>
      <w:r w:rsidR="00FB2C2C" w:rsidRPr="00FB2C2C">
        <w:rPr>
          <w:i/>
          <w:u w:val="none"/>
        </w:rPr>
        <w:t>…….</w:t>
      </w:r>
      <w:r w:rsidR="0097764C" w:rsidRPr="00543D0B">
        <w:rPr>
          <w:i/>
          <w:u w:val="none"/>
        </w:rPr>
        <w:t xml:space="preserve"> due to the addition of NaHS to the scrubber solution.</w:t>
      </w:r>
      <w:r>
        <w:rPr>
          <w:i/>
          <w:u w:val="none"/>
        </w:rPr>
        <w:t>”</w:t>
      </w:r>
    </w:p>
    <w:p w:rsidR="0097764C" w:rsidRDefault="00543D0B" w:rsidP="00543D0B">
      <w:pPr>
        <w:pStyle w:val="Heading9"/>
        <w:keepNext w:val="0"/>
        <w:widowControl w:val="0"/>
        <w:ind w:left="0"/>
        <w:rPr>
          <w:u w:val="none"/>
        </w:rPr>
      </w:pPr>
      <w:r>
        <w:rPr>
          <w:u w:val="none"/>
        </w:rPr>
        <w:t>LE indicates that the</w:t>
      </w:r>
      <w:r w:rsidRPr="00543D0B">
        <w:rPr>
          <w:u w:val="none"/>
        </w:rPr>
        <w:t xml:space="preserve"> maximum potential emissions increases are extremely small compared to the Generic and</w:t>
      </w:r>
      <w:r>
        <w:rPr>
          <w:u w:val="none"/>
        </w:rPr>
        <w:t xml:space="preserve"> </w:t>
      </w:r>
      <w:r w:rsidRPr="00543D0B">
        <w:rPr>
          <w:u w:val="none"/>
        </w:rPr>
        <w:t xml:space="preserve">Temporary Exemptions </w:t>
      </w:r>
      <w:r w:rsidR="00D969BA" w:rsidRPr="00543D0B">
        <w:rPr>
          <w:u w:val="none"/>
        </w:rPr>
        <w:t>permit contained in Rule 62-210.300(3)(b)1.c.,</w:t>
      </w:r>
      <w:r w:rsidR="00D969BA">
        <w:rPr>
          <w:u w:val="none"/>
        </w:rPr>
        <w:t xml:space="preserve"> </w:t>
      </w:r>
      <w:r w:rsidR="00D969BA" w:rsidRPr="00543D0B">
        <w:rPr>
          <w:u w:val="none"/>
        </w:rPr>
        <w:t>Florida Administrative Code (F.A.C.)</w:t>
      </w:r>
      <w:r w:rsidR="00D969BA">
        <w:rPr>
          <w:u w:val="none"/>
        </w:rPr>
        <w:t xml:space="preserve"> which preclude the need to obtain a</w:t>
      </w:r>
      <w:r w:rsidRPr="00543D0B">
        <w:rPr>
          <w:u w:val="none"/>
        </w:rPr>
        <w:t>n air construction</w:t>
      </w:r>
      <w:r w:rsidR="00D969BA">
        <w:rPr>
          <w:u w:val="none"/>
        </w:rPr>
        <w:t xml:space="preserve"> permit</w:t>
      </w:r>
      <w:r w:rsidRPr="00543D0B">
        <w:rPr>
          <w:u w:val="none"/>
        </w:rPr>
        <w:t xml:space="preserve">. </w:t>
      </w:r>
      <w:r>
        <w:rPr>
          <w:u w:val="none"/>
        </w:rPr>
        <w:t xml:space="preserve"> </w:t>
      </w:r>
      <w:r w:rsidRPr="00543D0B">
        <w:rPr>
          <w:u w:val="none"/>
        </w:rPr>
        <w:t xml:space="preserve">In addition, this </w:t>
      </w:r>
      <w:r w:rsidR="00D969BA">
        <w:rPr>
          <w:u w:val="none"/>
        </w:rPr>
        <w:t xml:space="preserve">PM </w:t>
      </w:r>
      <w:r w:rsidRPr="00543D0B">
        <w:rPr>
          <w:u w:val="none"/>
        </w:rPr>
        <w:t>emission</w:t>
      </w:r>
      <w:r w:rsidR="00D969BA">
        <w:rPr>
          <w:u w:val="none"/>
        </w:rPr>
        <w:t>s</w:t>
      </w:r>
      <w:r w:rsidRPr="00543D0B">
        <w:rPr>
          <w:u w:val="none"/>
        </w:rPr>
        <w:t xml:space="preserve"> level is considered “insignificant” pursuant</w:t>
      </w:r>
      <w:r>
        <w:rPr>
          <w:u w:val="none"/>
        </w:rPr>
        <w:t xml:space="preserve"> </w:t>
      </w:r>
      <w:r w:rsidRPr="00543D0B">
        <w:rPr>
          <w:u w:val="none"/>
        </w:rPr>
        <w:t>to Rule 62-213.430(6)</w:t>
      </w:r>
      <w:r w:rsidR="00D969BA">
        <w:rPr>
          <w:u w:val="none"/>
        </w:rPr>
        <w:t>,</w:t>
      </w:r>
      <w:r w:rsidRPr="00543D0B">
        <w:rPr>
          <w:u w:val="none"/>
        </w:rPr>
        <w:t xml:space="preserve"> F.A.C. </w:t>
      </w:r>
      <w:r>
        <w:rPr>
          <w:u w:val="none"/>
        </w:rPr>
        <w:t xml:space="preserve"> Consequently, </w:t>
      </w:r>
      <w:r w:rsidRPr="00543D0B">
        <w:rPr>
          <w:u w:val="none"/>
        </w:rPr>
        <w:t>LE is requesting FDEP grant an exemption from permitting for the</w:t>
      </w:r>
      <w:r>
        <w:rPr>
          <w:u w:val="none"/>
        </w:rPr>
        <w:t xml:space="preserve"> </w:t>
      </w:r>
      <w:r w:rsidR="00D969BA">
        <w:rPr>
          <w:u w:val="none"/>
        </w:rPr>
        <w:t>Hg</w:t>
      </w:r>
      <w:r w:rsidRPr="00543D0B">
        <w:rPr>
          <w:u w:val="none"/>
        </w:rPr>
        <w:t xml:space="preserve"> </w:t>
      </w:r>
      <w:r w:rsidR="00D969BA" w:rsidRPr="00D969BA">
        <w:rPr>
          <w:u w:val="none"/>
        </w:rPr>
        <w:t>emissions reduction system testing</w:t>
      </w:r>
      <w:r w:rsidR="00D969BA">
        <w:rPr>
          <w:u w:val="none"/>
        </w:rPr>
        <w:t xml:space="preserve"> on McIntosh Unit 3</w:t>
      </w:r>
      <w:r w:rsidRPr="00543D0B">
        <w:rPr>
          <w:u w:val="none"/>
        </w:rPr>
        <w:t xml:space="preserve">. </w:t>
      </w:r>
      <w:r>
        <w:rPr>
          <w:u w:val="none"/>
        </w:rPr>
        <w:t xml:space="preserve"> </w:t>
      </w:r>
      <w:r w:rsidRPr="00543D0B">
        <w:rPr>
          <w:u w:val="none"/>
        </w:rPr>
        <w:t>LE plans to monitor mercury emissions during the testing period to</w:t>
      </w:r>
      <w:r>
        <w:rPr>
          <w:u w:val="none"/>
        </w:rPr>
        <w:t xml:space="preserve"> </w:t>
      </w:r>
      <w:r w:rsidRPr="00543D0B">
        <w:rPr>
          <w:u w:val="none"/>
        </w:rPr>
        <w:t>determine the optimum feed rate of the halogen based additive (such as CaBr</w:t>
      </w:r>
      <w:r w:rsidRPr="00D969BA">
        <w:rPr>
          <w:u w:val="none"/>
          <w:vertAlign w:val="subscript"/>
        </w:rPr>
        <w:t>2</w:t>
      </w:r>
      <w:r w:rsidRPr="00543D0B">
        <w:rPr>
          <w:u w:val="none"/>
        </w:rPr>
        <w:t xml:space="preserve">) and NaHS. </w:t>
      </w:r>
      <w:r>
        <w:rPr>
          <w:u w:val="none"/>
        </w:rPr>
        <w:t xml:space="preserve"> </w:t>
      </w:r>
      <w:r w:rsidRPr="00543D0B">
        <w:rPr>
          <w:u w:val="none"/>
        </w:rPr>
        <w:t>It should be</w:t>
      </w:r>
      <w:r>
        <w:rPr>
          <w:u w:val="none"/>
        </w:rPr>
        <w:t xml:space="preserve"> </w:t>
      </w:r>
      <w:r w:rsidRPr="00543D0B">
        <w:rPr>
          <w:u w:val="none"/>
        </w:rPr>
        <w:t>noted that once the engineering testing is successful and actual stack test data are available, LE will</w:t>
      </w:r>
      <w:r>
        <w:rPr>
          <w:u w:val="none"/>
        </w:rPr>
        <w:t xml:space="preserve"> </w:t>
      </w:r>
      <w:r w:rsidRPr="00543D0B">
        <w:rPr>
          <w:u w:val="none"/>
        </w:rPr>
        <w:t>submit a formal AC permit application for the construction of the mercury emissions reduction system for</w:t>
      </w:r>
      <w:r>
        <w:rPr>
          <w:u w:val="none"/>
        </w:rPr>
        <w:t xml:space="preserve"> </w:t>
      </w:r>
      <w:r w:rsidRPr="00543D0B">
        <w:rPr>
          <w:u w:val="none"/>
        </w:rPr>
        <w:t>McIntosh Unit 3.</w:t>
      </w:r>
    </w:p>
    <w:p w:rsidR="008A6D0B" w:rsidRPr="004A31B6" w:rsidRDefault="004A31B6" w:rsidP="005F09C2">
      <w:pPr>
        <w:autoSpaceDE w:val="0"/>
        <w:autoSpaceDN w:val="0"/>
        <w:adjustRightInd w:val="0"/>
        <w:spacing w:after="120"/>
        <w:rPr>
          <w:sz w:val="22"/>
          <w:szCs w:val="22"/>
        </w:rPr>
      </w:pPr>
      <w:r w:rsidRPr="004A31B6">
        <w:rPr>
          <w:b/>
          <w:sz w:val="22"/>
          <w:szCs w:val="22"/>
        </w:rPr>
        <w:fldChar w:fldCharType="begin"/>
      </w:r>
      <w:r w:rsidRPr="004A31B6">
        <w:rPr>
          <w:b/>
          <w:sz w:val="22"/>
          <w:szCs w:val="22"/>
        </w:rPr>
        <w:instrText xml:space="preserve"> REF _Ref383671179 \h  \* MERGEFORMAT </w:instrText>
      </w:r>
      <w:r w:rsidRPr="004A31B6">
        <w:rPr>
          <w:b/>
          <w:sz w:val="22"/>
          <w:szCs w:val="22"/>
        </w:rPr>
      </w:r>
      <w:r w:rsidRPr="004A31B6">
        <w:rPr>
          <w:b/>
          <w:sz w:val="22"/>
          <w:szCs w:val="22"/>
        </w:rPr>
        <w:fldChar w:fldCharType="separate"/>
      </w:r>
      <w:r w:rsidR="00C25A5E" w:rsidRPr="00C25A5E">
        <w:rPr>
          <w:b/>
          <w:sz w:val="22"/>
          <w:szCs w:val="22"/>
        </w:rPr>
        <w:t xml:space="preserve">Table </w:t>
      </w:r>
      <w:r w:rsidR="00C25A5E" w:rsidRPr="00C25A5E">
        <w:rPr>
          <w:b/>
          <w:noProof/>
          <w:sz w:val="22"/>
          <w:szCs w:val="22"/>
        </w:rPr>
        <w:t>2</w:t>
      </w:r>
      <w:r w:rsidRPr="004A31B6">
        <w:rPr>
          <w:b/>
          <w:sz w:val="22"/>
          <w:szCs w:val="22"/>
        </w:rPr>
        <w:fldChar w:fldCharType="end"/>
      </w:r>
      <w:r>
        <w:rPr>
          <w:sz w:val="22"/>
          <w:szCs w:val="22"/>
        </w:rPr>
        <w:t xml:space="preserve"> s</w:t>
      </w:r>
      <w:r w:rsidRPr="004A31B6">
        <w:rPr>
          <w:sz w:val="22"/>
          <w:szCs w:val="22"/>
        </w:rPr>
        <w:t xml:space="preserve">hows the emission unit (EU) at the </w:t>
      </w:r>
      <w:r w:rsidR="00543D0B">
        <w:rPr>
          <w:sz w:val="22"/>
          <w:szCs w:val="22"/>
        </w:rPr>
        <w:t>C. D. McIntosh Power Plant</w:t>
      </w:r>
      <w:r w:rsidRPr="004A31B6">
        <w:rPr>
          <w:sz w:val="22"/>
          <w:szCs w:val="22"/>
        </w:rPr>
        <w:t xml:space="preserve"> effected by this project.</w:t>
      </w:r>
    </w:p>
    <w:p w:rsidR="005F09C2" w:rsidRPr="004A31B6" w:rsidRDefault="004A31B6" w:rsidP="004A31B6">
      <w:pPr>
        <w:pStyle w:val="Caption"/>
        <w:spacing w:after="120"/>
        <w:jc w:val="center"/>
        <w:rPr>
          <w:sz w:val="22"/>
          <w:szCs w:val="22"/>
        </w:rPr>
      </w:pPr>
      <w:bookmarkStart w:id="4" w:name="_Ref383671179"/>
      <w:r w:rsidRPr="004A31B6">
        <w:rPr>
          <w:rFonts w:ascii="Times New Roman Bold" w:hAnsi="Times New Roman Bold"/>
          <w:caps/>
          <w:sz w:val="22"/>
          <w:szCs w:val="22"/>
        </w:rPr>
        <w:t xml:space="preserve">Table </w:t>
      </w:r>
      <w:r w:rsidRPr="004A31B6">
        <w:rPr>
          <w:rFonts w:ascii="Times New Roman Bold" w:hAnsi="Times New Roman Bold"/>
          <w:caps/>
          <w:sz w:val="22"/>
          <w:szCs w:val="22"/>
        </w:rPr>
        <w:fldChar w:fldCharType="begin"/>
      </w:r>
      <w:r w:rsidRPr="004A31B6">
        <w:rPr>
          <w:rFonts w:ascii="Times New Roman Bold" w:hAnsi="Times New Roman Bold"/>
          <w:caps/>
          <w:sz w:val="22"/>
          <w:szCs w:val="22"/>
        </w:rPr>
        <w:instrText xml:space="preserve"> SEQ Table \* ARABIC </w:instrText>
      </w:r>
      <w:r w:rsidRPr="004A31B6">
        <w:rPr>
          <w:rFonts w:ascii="Times New Roman Bold" w:hAnsi="Times New Roman Bold"/>
          <w:caps/>
          <w:sz w:val="22"/>
          <w:szCs w:val="22"/>
        </w:rPr>
        <w:fldChar w:fldCharType="separate"/>
      </w:r>
      <w:r w:rsidR="00C25A5E">
        <w:rPr>
          <w:rFonts w:ascii="Times New Roman Bold" w:hAnsi="Times New Roman Bold"/>
          <w:caps/>
          <w:noProof/>
          <w:sz w:val="22"/>
          <w:szCs w:val="22"/>
        </w:rPr>
        <w:t>2</w:t>
      </w:r>
      <w:r w:rsidRPr="004A31B6">
        <w:rPr>
          <w:rFonts w:ascii="Times New Roman Bold" w:hAnsi="Times New Roman Bold"/>
          <w:caps/>
          <w:sz w:val="22"/>
          <w:szCs w:val="22"/>
        </w:rPr>
        <w:fldChar w:fldCharType="end"/>
      </w:r>
      <w:bookmarkEnd w:id="4"/>
      <w:r w:rsidR="00E67E9E" w:rsidRPr="004A31B6">
        <w:rPr>
          <w:caps/>
          <w:sz w:val="22"/>
          <w:szCs w:val="22"/>
        </w:rPr>
        <w:t xml:space="preserve"> – </w:t>
      </w:r>
      <w:r w:rsidR="00064FD9">
        <w:rPr>
          <w:caps/>
          <w:sz w:val="22"/>
          <w:szCs w:val="22"/>
        </w:rPr>
        <w:t>E</w:t>
      </w:r>
      <w:r w:rsidR="00E67E9E" w:rsidRPr="004A31B6">
        <w:rPr>
          <w:caps/>
          <w:sz w:val="22"/>
          <w:szCs w:val="22"/>
        </w:rPr>
        <w:t>ffected Emission Unit.</w:t>
      </w:r>
    </w:p>
    <w:tbl>
      <w:tblPr>
        <w:tblW w:w="101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8550"/>
      </w:tblGrid>
      <w:tr w:rsidR="005F09C2" w:rsidRPr="00A016FD" w:rsidTr="004A31B6">
        <w:trPr>
          <w:trHeight w:val="404"/>
        </w:trPr>
        <w:tc>
          <w:tcPr>
            <w:tcW w:w="1620" w:type="dxa"/>
            <w:tcBorders>
              <w:top w:val="single" w:sz="12" w:space="0" w:color="auto"/>
              <w:left w:val="single" w:sz="12" w:space="0" w:color="auto"/>
              <w:bottom w:val="single" w:sz="12" w:space="0" w:color="auto"/>
              <w:right w:val="single" w:sz="12" w:space="0" w:color="auto"/>
            </w:tcBorders>
            <w:shd w:val="clear" w:color="auto" w:fill="BDD6EE" w:themeFill="accent1" w:themeFillTint="66"/>
            <w:vAlign w:val="center"/>
          </w:tcPr>
          <w:p w:rsidR="005F09C2" w:rsidRPr="004A31B6" w:rsidRDefault="005F09C2" w:rsidP="004A31B6">
            <w:pPr>
              <w:pStyle w:val="BodyText2"/>
              <w:widowControl w:val="0"/>
              <w:numPr>
                <w:ilvl w:val="0"/>
                <w:numId w:val="0"/>
              </w:numPr>
              <w:spacing w:after="0"/>
              <w:jc w:val="center"/>
              <w:rPr>
                <w:b/>
                <w:szCs w:val="22"/>
              </w:rPr>
            </w:pPr>
            <w:r w:rsidRPr="004A31B6">
              <w:rPr>
                <w:b/>
                <w:szCs w:val="22"/>
              </w:rPr>
              <w:t>EU ID No.</w:t>
            </w:r>
          </w:p>
        </w:tc>
        <w:tc>
          <w:tcPr>
            <w:tcW w:w="8550" w:type="dxa"/>
            <w:tcBorders>
              <w:top w:val="single" w:sz="12" w:space="0" w:color="auto"/>
              <w:left w:val="single" w:sz="12" w:space="0" w:color="auto"/>
              <w:bottom w:val="single" w:sz="12" w:space="0" w:color="auto"/>
              <w:right w:val="single" w:sz="12" w:space="0" w:color="auto"/>
            </w:tcBorders>
            <w:shd w:val="clear" w:color="auto" w:fill="BDD6EE" w:themeFill="accent1" w:themeFillTint="66"/>
            <w:vAlign w:val="center"/>
          </w:tcPr>
          <w:p w:rsidR="005F09C2" w:rsidRPr="004A31B6" w:rsidRDefault="005F09C2" w:rsidP="004A31B6">
            <w:pPr>
              <w:pStyle w:val="BodyText2"/>
              <w:widowControl w:val="0"/>
              <w:numPr>
                <w:ilvl w:val="0"/>
                <w:numId w:val="0"/>
              </w:numPr>
              <w:spacing w:after="0"/>
              <w:jc w:val="center"/>
              <w:rPr>
                <w:b/>
                <w:szCs w:val="22"/>
              </w:rPr>
            </w:pPr>
            <w:r w:rsidRPr="004A31B6">
              <w:rPr>
                <w:b/>
                <w:szCs w:val="22"/>
              </w:rPr>
              <w:t>Emission Unit Description</w:t>
            </w:r>
          </w:p>
        </w:tc>
      </w:tr>
      <w:tr w:rsidR="00B93765" w:rsidRPr="00A016FD" w:rsidTr="00F337D6">
        <w:trPr>
          <w:trHeight w:val="350"/>
        </w:trPr>
        <w:tc>
          <w:tcPr>
            <w:tcW w:w="1620" w:type="dxa"/>
            <w:tcBorders>
              <w:top w:val="single" w:sz="8" w:space="0" w:color="auto"/>
              <w:left w:val="single" w:sz="12" w:space="0" w:color="auto"/>
              <w:bottom w:val="single" w:sz="12" w:space="0" w:color="auto"/>
              <w:right w:val="single" w:sz="12" w:space="0" w:color="auto"/>
            </w:tcBorders>
          </w:tcPr>
          <w:p w:rsidR="00B93765" w:rsidRPr="000D297A" w:rsidRDefault="00B93765" w:rsidP="00B93765">
            <w:pPr>
              <w:jc w:val="center"/>
              <w:rPr>
                <w:sz w:val="22"/>
              </w:rPr>
            </w:pPr>
            <w:r w:rsidRPr="000D297A">
              <w:rPr>
                <w:sz w:val="22"/>
              </w:rPr>
              <w:t>-006</w:t>
            </w:r>
          </w:p>
        </w:tc>
        <w:tc>
          <w:tcPr>
            <w:tcW w:w="8550" w:type="dxa"/>
            <w:tcBorders>
              <w:top w:val="single" w:sz="8" w:space="0" w:color="auto"/>
              <w:left w:val="single" w:sz="12" w:space="0" w:color="auto"/>
              <w:bottom w:val="single" w:sz="12" w:space="0" w:color="auto"/>
              <w:right w:val="single" w:sz="12" w:space="0" w:color="auto"/>
            </w:tcBorders>
          </w:tcPr>
          <w:p w:rsidR="00B93765" w:rsidRPr="000D297A" w:rsidRDefault="00B93765" w:rsidP="00B93765">
            <w:pPr>
              <w:rPr>
                <w:sz w:val="22"/>
              </w:rPr>
            </w:pPr>
            <w:r w:rsidRPr="000D297A">
              <w:rPr>
                <w:sz w:val="22"/>
              </w:rPr>
              <w:t>McIntosh Unit 3 - Fossil Fuel Fired Steam Generator</w:t>
            </w:r>
          </w:p>
        </w:tc>
      </w:tr>
    </w:tbl>
    <w:p w:rsidR="00601E95" w:rsidRDefault="00601E95" w:rsidP="00601E95">
      <w:r>
        <w:br w:type="page"/>
      </w:r>
    </w:p>
    <w:p w:rsidR="005F09C2" w:rsidRDefault="00601E95" w:rsidP="00A9297C">
      <w:pPr>
        <w:pStyle w:val="ListParagraph"/>
        <w:numPr>
          <w:ilvl w:val="0"/>
          <w:numId w:val="15"/>
        </w:numPr>
        <w:spacing w:before="120" w:after="120"/>
        <w:ind w:left="720" w:hanging="720"/>
        <w:contextualSpacing w:val="0"/>
        <w:rPr>
          <w:b/>
          <w:caps/>
          <w:sz w:val="22"/>
        </w:rPr>
      </w:pPr>
      <w:r>
        <w:rPr>
          <w:b/>
          <w:caps/>
          <w:sz w:val="22"/>
        </w:rPr>
        <w:lastRenderedPageBreak/>
        <w:t>department review</w:t>
      </w:r>
    </w:p>
    <w:p w:rsidR="00DC418E" w:rsidRPr="00DC418E" w:rsidRDefault="00DC418E" w:rsidP="00DC418E">
      <w:pPr>
        <w:pStyle w:val="ListParagraph"/>
        <w:numPr>
          <w:ilvl w:val="1"/>
          <w:numId w:val="15"/>
        </w:numPr>
        <w:spacing w:before="120" w:after="120"/>
        <w:ind w:left="720" w:hanging="720"/>
        <w:contextualSpacing w:val="0"/>
        <w:rPr>
          <w:b/>
          <w:caps/>
          <w:sz w:val="22"/>
        </w:rPr>
      </w:pPr>
      <w:r>
        <w:rPr>
          <w:rFonts w:ascii="Times New Roman Bold" w:hAnsi="Times New Roman Bold"/>
          <w:b/>
          <w:sz w:val="22"/>
        </w:rPr>
        <w:t>Process Overview</w:t>
      </w:r>
    </w:p>
    <w:p w:rsidR="00DC418E" w:rsidRDefault="00DC418E" w:rsidP="00D969BA">
      <w:pPr>
        <w:pStyle w:val="ListParagraph"/>
        <w:spacing w:before="120" w:after="120"/>
        <w:ind w:left="0"/>
        <w:rPr>
          <w:sz w:val="22"/>
        </w:rPr>
      </w:pPr>
      <w:r w:rsidRPr="00DC418E">
        <w:rPr>
          <w:sz w:val="22"/>
        </w:rPr>
        <w:t>In preparation for the EPA MATS</w:t>
      </w:r>
      <w:r w:rsidR="0050765F">
        <w:rPr>
          <w:sz w:val="22"/>
        </w:rPr>
        <w:t xml:space="preserve"> requirements</w:t>
      </w:r>
      <w:r w:rsidRPr="00DC418E">
        <w:rPr>
          <w:sz w:val="22"/>
        </w:rPr>
        <w:t>, LE is planning</w:t>
      </w:r>
      <w:r>
        <w:rPr>
          <w:sz w:val="22"/>
        </w:rPr>
        <w:t xml:space="preserve"> </w:t>
      </w:r>
      <w:r w:rsidRPr="00DC418E">
        <w:rPr>
          <w:sz w:val="22"/>
        </w:rPr>
        <w:t xml:space="preserve">to test a mercury emissions reduction technology based on chemical spray application for McIntosh Unit 3. </w:t>
      </w:r>
      <w:r w:rsidR="0050765F">
        <w:rPr>
          <w:sz w:val="22"/>
        </w:rPr>
        <w:t xml:space="preserve"> </w:t>
      </w:r>
      <w:r w:rsidRPr="00DC418E">
        <w:rPr>
          <w:sz w:val="22"/>
        </w:rPr>
        <w:t>The technology is based on spray application of halogen-based additives such CaBr</w:t>
      </w:r>
      <w:r w:rsidRPr="0050765F">
        <w:rPr>
          <w:sz w:val="22"/>
          <w:vertAlign w:val="subscript"/>
        </w:rPr>
        <w:t>2</w:t>
      </w:r>
      <w:r w:rsidRPr="00DC418E">
        <w:rPr>
          <w:sz w:val="22"/>
        </w:rPr>
        <w:t xml:space="preserve"> into the coal feeders and </w:t>
      </w:r>
      <w:r w:rsidR="0050765F">
        <w:rPr>
          <w:sz w:val="22"/>
        </w:rPr>
        <w:t>NaHS</w:t>
      </w:r>
      <w:r w:rsidRPr="00DC418E">
        <w:rPr>
          <w:sz w:val="22"/>
        </w:rPr>
        <w:t xml:space="preserve"> into the WFGD system. </w:t>
      </w:r>
      <w:r w:rsidR="0050765F">
        <w:rPr>
          <w:sz w:val="22"/>
        </w:rPr>
        <w:t xml:space="preserve"> </w:t>
      </w:r>
      <w:r w:rsidRPr="00DC418E">
        <w:rPr>
          <w:sz w:val="22"/>
        </w:rPr>
        <w:t xml:space="preserve">The spray application locations are shown in the </w:t>
      </w:r>
      <w:r w:rsidR="0050765F">
        <w:rPr>
          <w:sz w:val="22"/>
        </w:rPr>
        <w:t xml:space="preserve">in </w:t>
      </w:r>
      <w:r w:rsidR="0050765F" w:rsidRPr="0050765F">
        <w:rPr>
          <w:b/>
          <w:sz w:val="22"/>
        </w:rPr>
        <w:fldChar w:fldCharType="begin"/>
      </w:r>
      <w:r w:rsidR="0050765F" w:rsidRPr="0050765F">
        <w:rPr>
          <w:b/>
          <w:sz w:val="22"/>
        </w:rPr>
        <w:instrText xml:space="preserve"> REF _Ref401063014 \h </w:instrText>
      </w:r>
      <w:r w:rsidR="0050765F">
        <w:rPr>
          <w:b/>
          <w:sz w:val="22"/>
        </w:rPr>
        <w:instrText xml:space="preserve"> \* MERGEFORMAT </w:instrText>
      </w:r>
      <w:r w:rsidR="0050765F" w:rsidRPr="0050765F">
        <w:rPr>
          <w:b/>
          <w:sz w:val="22"/>
        </w:rPr>
      </w:r>
      <w:r w:rsidR="0050765F" w:rsidRPr="0050765F">
        <w:rPr>
          <w:b/>
          <w:sz w:val="22"/>
        </w:rPr>
        <w:fldChar w:fldCharType="separate"/>
      </w:r>
      <w:r w:rsidR="00C25A5E" w:rsidRPr="00C25A5E">
        <w:rPr>
          <w:b/>
          <w:sz w:val="22"/>
          <w:szCs w:val="22"/>
        </w:rPr>
        <w:t xml:space="preserve">Figure </w:t>
      </w:r>
      <w:r w:rsidR="00C25A5E" w:rsidRPr="00C25A5E">
        <w:rPr>
          <w:b/>
          <w:noProof/>
          <w:sz w:val="22"/>
          <w:szCs w:val="22"/>
        </w:rPr>
        <w:t>4</w:t>
      </w:r>
      <w:r w:rsidR="0050765F" w:rsidRPr="0050765F">
        <w:rPr>
          <w:sz w:val="22"/>
        </w:rPr>
        <w:fldChar w:fldCharType="end"/>
      </w:r>
      <w:r w:rsidR="0050765F">
        <w:rPr>
          <w:sz w:val="22"/>
        </w:rPr>
        <w:t xml:space="preserve"> below.  </w:t>
      </w:r>
      <w:r w:rsidRPr="00DC418E">
        <w:rPr>
          <w:sz w:val="22"/>
        </w:rPr>
        <w:t>Halogen-based additives, which will be spray injected into the coal, will oxidize mercury into</w:t>
      </w:r>
      <w:r w:rsidR="0050765F">
        <w:rPr>
          <w:sz w:val="22"/>
        </w:rPr>
        <w:t xml:space="preserve"> </w:t>
      </w:r>
      <w:r w:rsidRPr="00DC418E">
        <w:rPr>
          <w:sz w:val="22"/>
        </w:rPr>
        <w:t>mercury ions inside the boiler.</w:t>
      </w:r>
      <w:r w:rsidR="0050765F">
        <w:rPr>
          <w:sz w:val="22"/>
        </w:rPr>
        <w:t xml:space="preserve"> </w:t>
      </w:r>
      <w:r w:rsidRPr="00DC418E">
        <w:rPr>
          <w:sz w:val="22"/>
        </w:rPr>
        <w:t xml:space="preserve"> Since the mercury ions are soluble in water, NaHS will be injected into the</w:t>
      </w:r>
      <w:r w:rsidR="0050765F">
        <w:rPr>
          <w:sz w:val="22"/>
        </w:rPr>
        <w:t xml:space="preserve"> </w:t>
      </w:r>
      <w:r w:rsidRPr="00DC418E">
        <w:rPr>
          <w:sz w:val="22"/>
        </w:rPr>
        <w:t xml:space="preserve">WFGD, which will react with the mercury ions to create insoluble HgS solids. </w:t>
      </w:r>
      <w:r w:rsidR="0050765F">
        <w:rPr>
          <w:sz w:val="22"/>
        </w:rPr>
        <w:t xml:space="preserve"> </w:t>
      </w:r>
      <w:r w:rsidR="00D969BA">
        <w:rPr>
          <w:sz w:val="22"/>
        </w:rPr>
        <w:t>Some</w:t>
      </w:r>
      <w:r w:rsidRPr="00DC418E">
        <w:rPr>
          <w:sz w:val="22"/>
        </w:rPr>
        <w:t xml:space="preserve"> HgS</w:t>
      </w:r>
      <w:r w:rsidR="0050765F">
        <w:rPr>
          <w:sz w:val="22"/>
        </w:rPr>
        <w:t xml:space="preserve"> </w:t>
      </w:r>
      <w:r w:rsidRPr="00DC418E">
        <w:rPr>
          <w:sz w:val="22"/>
        </w:rPr>
        <w:t xml:space="preserve">may be emitted into the atmosphere along with the water droplets. </w:t>
      </w:r>
      <w:r w:rsidR="0050765F">
        <w:rPr>
          <w:sz w:val="22"/>
        </w:rPr>
        <w:t xml:space="preserve"> </w:t>
      </w:r>
      <w:r w:rsidRPr="00DC418E">
        <w:rPr>
          <w:sz w:val="22"/>
        </w:rPr>
        <w:t>However, WFGD has a mist eliminator</w:t>
      </w:r>
      <w:r w:rsidR="0050765F">
        <w:rPr>
          <w:sz w:val="22"/>
        </w:rPr>
        <w:t xml:space="preserve"> </w:t>
      </w:r>
      <w:r w:rsidRPr="00DC418E">
        <w:rPr>
          <w:sz w:val="22"/>
        </w:rPr>
        <w:t>to reduce emission of water droplets and a conservatively low drift rate of 0.1% was used in estimating</w:t>
      </w:r>
      <w:r w:rsidR="00D969BA">
        <w:rPr>
          <w:sz w:val="22"/>
        </w:rPr>
        <w:t xml:space="preserve"> </w:t>
      </w:r>
      <w:r w:rsidRPr="00DC418E">
        <w:rPr>
          <w:sz w:val="22"/>
        </w:rPr>
        <w:t>HgS emissions.</w:t>
      </w:r>
      <w:r w:rsidR="0050765F">
        <w:rPr>
          <w:sz w:val="22"/>
        </w:rPr>
        <w:t xml:space="preserve"> </w:t>
      </w:r>
      <w:r w:rsidRPr="00DC418E">
        <w:rPr>
          <w:sz w:val="22"/>
        </w:rPr>
        <w:t xml:space="preserve"> LE will monitor mercury emissions </w:t>
      </w:r>
      <w:r w:rsidR="0050765F" w:rsidRPr="0050765F">
        <w:rPr>
          <w:sz w:val="22"/>
        </w:rPr>
        <w:t>during the testing period to determine the optimum</w:t>
      </w:r>
      <w:r w:rsidR="0050765F">
        <w:rPr>
          <w:sz w:val="22"/>
        </w:rPr>
        <w:t xml:space="preserve"> </w:t>
      </w:r>
      <w:r w:rsidR="0050765F" w:rsidRPr="0050765F">
        <w:rPr>
          <w:sz w:val="22"/>
        </w:rPr>
        <w:t>feed rates of halogen-based additives and NaHS.</w:t>
      </w:r>
    </w:p>
    <w:p w:rsidR="00DC418E" w:rsidRDefault="00C25A5E" w:rsidP="00DC418E">
      <w:pPr>
        <w:pStyle w:val="ListParagraph"/>
        <w:spacing w:before="120" w:after="120"/>
        <w:ind w:left="0"/>
        <w:contextualSpacing w:val="0"/>
        <w:rPr>
          <w:sz w:val="22"/>
        </w:rPr>
      </w:pPr>
      <w:r>
        <w:rPr>
          <w:noProof/>
        </w:rPr>
        <mc:AlternateContent>
          <mc:Choice Requires="wps">
            <w:drawing>
              <wp:anchor distT="0" distB="0" distL="114300" distR="114300" simplePos="0" relativeHeight="251661312" behindDoc="0" locked="0" layoutInCell="1" allowOverlap="1" wp14:anchorId="6BAD3FA2" wp14:editId="706F1885">
                <wp:simplePos x="0" y="0"/>
                <wp:positionH relativeFrom="column">
                  <wp:posOffset>4734230</wp:posOffset>
                </wp:positionH>
                <wp:positionV relativeFrom="paragraph">
                  <wp:posOffset>879475</wp:posOffset>
                </wp:positionV>
                <wp:extent cx="490119" cy="702260"/>
                <wp:effectExtent l="0" t="0" r="24765" b="22225"/>
                <wp:wrapNone/>
                <wp:docPr id="16" name="Oval 16"/>
                <wp:cNvGraphicFramePr/>
                <a:graphic xmlns:a="http://schemas.openxmlformats.org/drawingml/2006/main">
                  <a:graphicData uri="http://schemas.microsoft.com/office/word/2010/wordprocessingShape">
                    <wps:wsp>
                      <wps:cNvSpPr/>
                      <wps:spPr>
                        <a:xfrm>
                          <a:off x="0" y="0"/>
                          <a:ext cx="490119" cy="702260"/>
                        </a:xfrm>
                        <a:prstGeom prst="ellipse">
                          <a:avLst/>
                        </a:prstGeom>
                        <a:noFill/>
                        <a:ln w="22225"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64FCB7B8" id="Oval 16" o:spid="_x0000_s1026" style="position:absolute;margin-left:372.75pt;margin-top:69.25pt;width:38.6pt;height:55.3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" filled="f" strokecolor="#c00000" strokeweight="1.75pt">
                <v:stroke joinstyle="miter"/>
              </v:oval>
            </w:pict>
          </mc:Fallback>
        </mc:AlternateContent>
      </w:r>
      <w:r>
        <w:rPr>
          <w:noProof/>
        </w:rPr>
        <mc:AlternateContent>
          <mc:Choice Requires="wps">
            <w:drawing>
              <wp:anchor distT="0" distB="0" distL="114300" distR="114300" simplePos="0" relativeHeight="251659264" behindDoc="0" locked="0" layoutInCell="1" allowOverlap="1" wp14:anchorId="3B6DABC6" wp14:editId="7963A571">
                <wp:simplePos x="0" y="0"/>
                <wp:positionH relativeFrom="column">
                  <wp:posOffset>38303</wp:posOffset>
                </wp:positionH>
                <wp:positionV relativeFrom="paragraph">
                  <wp:posOffset>883819</wp:posOffset>
                </wp:positionV>
                <wp:extent cx="599846" cy="702260"/>
                <wp:effectExtent l="0" t="0" r="10160" b="22225"/>
                <wp:wrapNone/>
                <wp:docPr id="15" name="Oval 15"/>
                <wp:cNvGraphicFramePr/>
                <a:graphic xmlns:a="http://schemas.openxmlformats.org/drawingml/2006/main">
                  <a:graphicData uri="http://schemas.microsoft.com/office/word/2010/wordprocessingShape">
                    <wps:wsp>
                      <wps:cNvSpPr/>
                      <wps:spPr>
                        <a:xfrm>
                          <a:off x="0" y="0"/>
                          <a:ext cx="599846" cy="702260"/>
                        </a:xfrm>
                        <a:prstGeom prst="ellipse">
                          <a:avLst/>
                        </a:prstGeom>
                        <a:noFill/>
                        <a:ln w="2222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77020AB" id="Oval 15" o:spid="_x0000_s1026" style="position:absolute;margin-left:3pt;margin-top:69.6pt;width:47.25pt;height:55.3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" filled="f" strokecolor="#c00000" strokeweight="1.75pt">
                <v:stroke joinstyle="miter"/>
              </v:oval>
            </w:pict>
          </mc:Fallback>
        </mc:AlternateContent>
      </w:r>
      <w:r w:rsidR="00DC418E" w:rsidRPr="00DC418E">
        <w:rPr>
          <w:noProof/>
        </w:rPr>
        <w:drawing>
          <wp:inline distT="0" distB="0" distL="0" distR="0" wp14:anchorId="5738B3EC" wp14:editId="355B514E">
            <wp:extent cx="6400800" cy="41148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6400800" cy="4114800"/>
                    </a:xfrm>
                    <a:prstGeom prst="rect">
                      <a:avLst/>
                    </a:prstGeom>
                  </pic:spPr>
                </pic:pic>
              </a:graphicData>
            </a:graphic>
          </wp:inline>
        </w:drawing>
      </w:r>
    </w:p>
    <w:p w:rsidR="00DC418E" w:rsidRPr="0050765F" w:rsidRDefault="0050765F" w:rsidP="0050765F">
      <w:pPr>
        <w:pStyle w:val="Caption"/>
        <w:spacing w:after="120"/>
        <w:jc w:val="center"/>
        <w:rPr>
          <w:sz w:val="22"/>
          <w:szCs w:val="22"/>
        </w:rPr>
      </w:pPr>
      <w:bookmarkStart w:id="5" w:name="_Ref401063014"/>
      <w:r w:rsidRPr="0050765F">
        <w:rPr>
          <w:sz w:val="22"/>
          <w:szCs w:val="22"/>
        </w:rPr>
        <w:t xml:space="preserve">Figure </w:t>
      </w:r>
      <w:r w:rsidRPr="0050765F">
        <w:rPr>
          <w:sz w:val="22"/>
          <w:szCs w:val="22"/>
        </w:rPr>
        <w:fldChar w:fldCharType="begin"/>
      </w:r>
      <w:r w:rsidRPr="0050765F">
        <w:rPr>
          <w:sz w:val="22"/>
          <w:szCs w:val="22"/>
        </w:rPr>
        <w:instrText xml:space="preserve"> SEQ Figure \* ARABIC </w:instrText>
      </w:r>
      <w:r w:rsidRPr="0050765F">
        <w:rPr>
          <w:sz w:val="22"/>
          <w:szCs w:val="22"/>
        </w:rPr>
        <w:fldChar w:fldCharType="separate"/>
      </w:r>
      <w:r w:rsidR="00C25A5E">
        <w:rPr>
          <w:noProof/>
          <w:sz w:val="22"/>
          <w:szCs w:val="22"/>
        </w:rPr>
        <w:t>4</w:t>
      </w:r>
      <w:r w:rsidRPr="0050765F">
        <w:rPr>
          <w:sz w:val="22"/>
          <w:szCs w:val="22"/>
        </w:rPr>
        <w:fldChar w:fldCharType="end"/>
      </w:r>
      <w:bookmarkEnd w:id="5"/>
      <w:r w:rsidRPr="0050765F">
        <w:rPr>
          <w:sz w:val="22"/>
          <w:szCs w:val="22"/>
        </w:rPr>
        <w:t xml:space="preserve">.  </w:t>
      </w:r>
      <w:r>
        <w:rPr>
          <w:sz w:val="22"/>
          <w:szCs w:val="22"/>
        </w:rPr>
        <w:t>Process Flow Diagram</w:t>
      </w:r>
      <w:r w:rsidRPr="0050765F">
        <w:rPr>
          <w:sz w:val="22"/>
          <w:szCs w:val="22"/>
        </w:rPr>
        <w:t xml:space="preserve"> of LE </w:t>
      </w:r>
      <w:r>
        <w:rPr>
          <w:sz w:val="22"/>
          <w:szCs w:val="22"/>
        </w:rPr>
        <w:t xml:space="preserve">C. D. McIntosh Power Plant </w:t>
      </w:r>
      <w:r w:rsidRPr="0050765F">
        <w:rPr>
          <w:sz w:val="22"/>
          <w:szCs w:val="22"/>
        </w:rPr>
        <w:t>Additive Testing.</w:t>
      </w:r>
    </w:p>
    <w:p w:rsidR="005F09C2" w:rsidRPr="000D7BE8" w:rsidRDefault="005F09C2" w:rsidP="0050765F">
      <w:pPr>
        <w:numPr>
          <w:ilvl w:val="1"/>
          <w:numId w:val="14"/>
        </w:numPr>
        <w:tabs>
          <w:tab w:val="left" w:pos="720"/>
        </w:tabs>
        <w:spacing w:after="120"/>
        <w:ind w:left="720" w:hanging="720"/>
        <w:rPr>
          <w:b/>
          <w:caps/>
          <w:sz w:val="22"/>
        </w:rPr>
      </w:pPr>
      <w:r>
        <w:rPr>
          <w:b/>
          <w:sz w:val="22"/>
        </w:rPr>
        <w:t xml:space="preserve">PSD </w:t>
      </w:r>
      <w:r w:rsidRPr="00193F10">
        <w:rPr>
          <w:b/>
          <w:sz w:val="22"/>
        </w:rPr>
        <w:t>Applicability</w:t>
      </w:r>
    </w:p>
    <w:p w:rsidR="005F09C2" w:rsidRDefault="005F09C2" w:rsidP="005F09C2">
      <w:pPr>
        <w:pStyle w:val="BodyText"/>
        <w:widowControl w:val="0"/>
        <w:rPr>
          <w:sz w:val="22"/>
        </w:rPr>
      </w:pPr>
      <w:r>
        <w:rPr>
          <w:sz w:val="22"/>
        </w:rPr>
        <w:t xml:space="preserve">As provided in the application, </w:t>
      </w:r>
      <w:r w:rsidRPr="004A31B6">
        <w:rPr>
          <w:b/>
          <w:sz w:val="22"/>
        </w:rPr>
        <w:fldChar w:fldCharType="begin"/>
      </w:r>
      <w:r w:rsidRPr="004A31B6">
        <w:rPr>
          <w:b/>
          <w:sz w:val="22"/>
        </w:rPr>
        <w:instrText xml:space="preserve"> REF _Ref360095227 \h  \* MERGEFORMAT </w:instrText>
      </w:r>
      <w:r w:rsidRPr="004A31B6">
        <w:rPr>
          <w:b/>
          <w:sz w:val="22"/>
        </w:rPr>
      </w:r>
      <w:r w:rsidRPr="004A31B6">
        <w:rPr>
          <w:b/>
          <w:sz w:val="22"/>
        </w:rPr>
        <w:fldChar w:fldCharType="separate"/>
      </w:r>
      <w:r w:rsidR="00C25A5E" w:rsidRPr="00C25A5E">
        <w:rPr>
          <w:b/>
          <w:sz w:val="22"/>
          <w:szCs w:val="22"/>
        </w:rPr>
        <w:t xml:space="preserve">Table </w:t>
      </w:r>
      <w:r w:rsidR="00C25A5E" w:rsidRPr="00C25A5E">
        <w:rPr>
          <w:b/>
          <w:noProof/>
          <w:sz w:val="22"/>
          <w:szCs w:val="22"/>
        </w:rPr>
        <w:t>3</w:t>
      </w:r>
      <w:r w:rsidRPr="004A31B6">
        <w:rPr>
          <w:b/>
          <w:sz w:val="22"/>
        </w:rPr>
        <w:fldChar w:fldCharType="end"/>
      </w:r>
      <w:r>
        <w:rPr>
          <w:sz w:val="22"/>
        </w:rPr>
        <w:t xml:space="preserve"> below summarizes potential emissions and PSD applicability for the project</w:t>
      </w:r>
    </w:p>
    <w:p w:rsidR="005F09C2" w:rsidRPr="00B82F74" w:rsidRDefault="005F09C2" w:rsidP="005F09C2">
      <w:pPr>
        <w:pStyle w:val="BodyText"/>
        <w:widowControl w:val="0"/>
        <w:jc w:val="center"/>
        <w:rPr>
          <w:b/>
          <w:caps/>
          <w:sz w:val="22"/>
        </w:rPr>
      </w:pPr>
      <w:bookmarkStart w:id="6" w:name="_Ref360095227"/>
      <w:r w:rsidRPr="00B82F74">
        <w:rPr>
          <w:b/>
          <w:caps/>
          <w:sz w:val="22"/>
          <w:szCs w:val="22"/>
        </w:rPr>
        <w:t xml:space="preserve">Table </w:t>
      </w:r>
      <w:r w:rsidRPr="00B82F74">
        <w:rPr>
          <w:b/>
          <w:caps/>
          <w:sz w:val="22"/>
          <w:szCs w:val="22"/>
        </w:rPr>
        <w:fldChar w:fldCharType="begin"/>
      </w:r>
      <w:r w:rsidRPr="00B82F74">
        <w:rPr>
          <w:b/>
          <w:caps/>
          <w:sz w:val="22"/>
          <w:szCs w:val="22"/>
        </w:rPr>
        <w:instrText xml:space="preserve"> SEQ Table \* ARABIC </w:instrText>
      </w:r>
      <w:r w:rsidRPr="00B82F74">
        <w:rPr>
          <w:b/>
          <w:caps/>
          <w:sz w:val="22"/>
          <w:szCs w:val="22"/>
        </w:rPr>
        <w:fldChar w:fldCharType="separate"/>
      </w:r>
      <w:r w:rsidR="00C25A5E">
        <w:rPr>
          <w:b/>
          <w:caps/>
          <w:noProof/>
          <w:sz w:val="22"/>
          <w:szCs w:val="22"/>
        </w:rPr>
        <w:t>3</w:t>
      </w:r>
      <w:r w:rsidRPr="00B82F74">
        <w:rPr>
          <w:b/>
          <w:caps/>
          <w:sz w:val="22"/>
          <w:szCs w:val="22"/>
        </w:rPr>
        <w:fldChar w:fldCharType="end"/>
      </w:r>
      <w:bookmarkEnd w:id="6"/>
      <w:r w:rsidRPr="00A016FD">
        <w:rPr>
          <w:caps/>
          <w:sz w:val="22"/>
          <w:szCs w:val="22"/>
        </w:rPr>
        <w:t xml:space="preserve"> – </w:t>
      </w:r>
      <w:r w:rsidRPr="00B82F74">
        <w:rPr>
          <w:b/>
          <w:caps/>
          <w:sz w:val="22"/>
          <w:szCs w:val="22"/>
        </w:rPr>
        <w:t xml:space="preserve">Summary of the Applicant’s PSD Applicability </w:t>
      </w:r>
      <w:r w:rsidRPr="00B82F74">
        <w:rPr>
          <w:b/>
          <w:caps/>
          <w:sz w:val="22"/>
        </w:rPr>
        <w:t>Analysis</w:t>
      </w:r>
      <w:r>
        <w:rPr>
          <w:b/>
          <w:caps/>
          <w:sz w:val="22"/>
        </w:rPr>
        <w:t>.</w:t>
      </w:r>
    </w:p>
    <w:tbl>
      <w:tblPr>
        <w:tblW w:w="4336"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top w:w="29" w:type="dxa"/>
          <w:left w:w="58" w:type="dxa"/>
          <w:bottom w:w="29" w:type="dxa"/>
          <w:right w:w="58" w:type="dxa"/>
        </w:tblCellMar>
        <w:tblLook w:val="0000" w:firstRow="0" w:lastRow="0" w:firstColumn="0" w:lastColumn="0" w:noHBand="0" w:noVBand="0"/>
      </w:tblPr>
      <w:tblGrid>
        <w:gridCol w:w="2124"/>
        <w:gridCol w:w="2125"/>
        <w:gridCol w:w="2130"/>
        <w:gridCol w:w="2336"/>
      </w:tblGrid>
      <w:tr w:rsidR="00E67E9E" w:rsidTr="00292DA8">
        <w:trPr>
          <w:trHeight w:val="203"/>
          <w:tblHeader/>
          <w:jc w:val="center"/>
        </w:trPr>
        <w:tc>
          <w:tcPr>
            <w:tcW w:w="1219" w:type="pct"/>
            <w:tcBorders>
              <w:bottom w:val="single" w:sz="12" w:space="0" w:color="auto"/>
              <w:right w:val="single" w:sz="12" w:space="0" w:color="auto"/>
            </w:tcBorders>
            <w:shd w:val="clear" w:color="auto" w:fill="BDD6EE" w:themeFill="accent1" w:themeFillTint="66"/>
            <w:vAlign w:val="center"/>
          </w:tcPr>
          <w:p w:rsidR="00E67E9E" w:rsidRPr="004A31B6" w:rsidRDefault="00E67E9E" w:rsidP="005F09C2">
            <w:pPr>
              <w:pStyle w:val="BodyText"/>
              <w:widowControl w:val="0"/>
              <w:spacing w:after="0"/>
              <w:jc w:val="center"/>
              <w:rPr>
                <w:b/>
                <w:sz w:val="22"/>
                <w:szCs w:val="22"/>
              </w:rPr>
            </w:pPr>
            <w:r w:rsidRPr="004A31B6">
              <w:rPr>
                <w:b/>
                <w:sz w:val="22"/>
                <w:szCs w:val="22"/>
              </w:rPr>
              <w:t>Pollutant</w:t>
            </w:r>
          </w:p>
        </w:tc>
        <w:tc>
          <w:tcPr>
            <w:tcW w:w="1219" w:type="pct"/>
            <w:tcBorders>
              <w:left w:val="single" w:sz="12" w:space="0" w:color="auto"/>
              <w:bottom w:val="single" w:sz="12" w:space="0" w:color="auto"/>
              <w:right w:val="single" w:sz="12" w:space="0" w:color="auto"/>
            </w:tcBorders>
            <w:shd w:val="clear" w:color="auto" w:fill="BDD6EE" w:themeFill="accent1" w:themeFillTint="66"/>
            <w:vAlign w:val="center"/>
          </w:tcPr>
          <w:p w:rsidR="00E67E9E" w:rsidRPr="004A31B6" w:rsidRDefault="00E67E9E" w:rsidP="004A31B6">
            <w:pPr>
              <w:pStyle w:val="BodyText"/>
              <w:widowControl w:val="0"/>
              <w:spacing w:after="0"/>
              <w:jc w:val="center"/>
              <w:rPr>
                <w:b/>
                <w:sz w:val="22"/>
                <w:szCs w:val="22"/>
                <w:vertAlign w:val="superscript"/>
              </w:rPr>
            </w:pPr>
            <w:r w:rsidRPr="004A31B6">
              <w:rPr>
                <w:b/>
                <w:sz w:val="22"/>
                <w:szCs w:val="22"/>
              </w:rPr>
              <w:t>Potential</w:t>
            </w:r>
            <w:r w:rsidR="004A31B6">
              <w:rPr>
                <w:b/>
                <w:sz w:val="22"/>
                <w:szCs w:val="22"/>
              </w:rPr>
              <w:br/>
            </w:r>
            <w:r w:rsidRPr="004A31B6">
              <w:rPr>
                <w:b/>
                <w:sz w:val="22"/>
                <w:szCs w:val="22"/>
              </w:rPr>
              <w:t>Emissions (TPY)</w:t>
            </w:r>
            <w:r w:rsidR="00064FD9">
              <w:rPr>
                <w:b/>
                <w:sz w:val="22"/>
                <w:szCs w:val="22"/>
              </w:rPr>
              <w:t xml:space="preserve"> </w:t>
            </w:r>
            <w:r w:rsidR="00064FD9" w:rsidRPr="00064FD9">
              <w:rPr>
                <w:b/>
                <w:sz w:val="22"/>
                <w:szCs w:val="22"/>
                <w:vertAlign w:val="superscript"/>
              </w:rPr>
              <w:t>a</w:t>
            </w:r>
            <w:r w:rsidR="00DC418E">
              <w:rPr>
                <w:b/>
                <w:sz w:val="22"/>
                <w:szCs w:val="22"/>
                <w:vertAlign w:val="superscript"/>
              </w:rPr>
              <w:t>, b</w:t>
            </w:r>
          </w:p>
        </w:tc>
        <w:tc>
          <w:tcPr>
            <w:tcW w:w="1222" w:type="pct"/>
            <w:tcBorders>
              <w:left w:val="single" w:sz="12" w:space="0" w:color="auto"/>
              <w:bottom w:val="single" w:sz="12" w:space="0" w:color="auto"/>
              <w:right w:val="single" w:sz="12" w:space="0" w:color="auto"/>
            </w:tcBorders>
            <w:shd w:val="clear" w:color="auto" w:fill="BDD6EE" w:themeFill="accent1" w:themeFillTint="66"/>
            <w:vAlign w:val="center"/>
          </w:tcPr>
          <w:p w:rsidR="00E67E9E" w:rsidRPr="004A31B6" w:rsidRDefault="00E67E9E" w:rsidP="004A31B6">
            <w:pPr>
              <w:pStyle w:val="BodyText"/>
              <w:widowControl w:val="0"/>
              <w:spacing w:after="0"/>
              <w:jc w:val="center"/>
              <w:rPr>
                <w:b/>
                <w:sz w:val="22"/>
                <w:szCs w:val="22"/>
              </w:rPr>
            </w:pPr>
            <w:r w:rsidRPr="004A31B6">
              <w:rPr>
                <w:b/>
                <w:sz w:val="22"/>
                <w:szCs w:val="22"/>
              </w:rPr>
              <w:t>Significant</w:t>
            </w:r>
            <w:r w:rsidR="004A31B6">
              <w:rPr>
                <w:b/>
                <w:sz w:val="22"/>
                <w:szCs w:val="22"/>
              </w:rPr>
              <w:br/>
            </w:r>
            <w:r w:rsidRPr="004A31B6">
              <w:rPr>
                <w:b/>
                <w:sz w:val="22"/>
                <w:szCs w:val="22"/>
              </w:rPr>
              <w:t>Emissions Rate (TPY)</w:t>
            </w:r>
          </w:p>
        </w:tc>
        <w:tc>
          <w:tcPr>
            <w:tcW w:w="1340" w:type="pct"/>
            <w:tcBorders>
              <w:left w:val="single" w:sz="12" w:space="0" w:color="auto"/>
              <w:bottom w:val="single" w:sz="12" w:space="0" w:color="auto"/>
            </w:tcBorders>
            <w:shd w:val="clear" w:color="auto" w:fill="BDD6EE" w:themeFill="accent1" w:themeFillTint="66"/>
            <w:vAlign w:val="center"/>
          </w:tcPr>
          <w:p w:rsidR="00E67E9E" w:rsidRPr="004A31B6" w:rsidRDefault="00E67E9E" w:rsidP="004A31B6">
            <w:pPr>
              <w:pStyle w:val="BodyText"/>
              <w:widowControl w:val="0"/>
              <w:spacing w:after="0"/>
              <w:jc w:val="center"/>
              <w:rPr>
                <w:b/>
                <w:sz w:val="22"/>
                <w:szCs w:val="22"/>
              </w:rPr>
            </w:pPr>
            <w:r w:rsidRPr="004A31B6">
              <w:rPr>
                <w:b/>
                <w:sz w:val="22"/>
                <w:szCs w:val="22"/>
              </w:rPr>
              <w:t>Subject to</w:t>
            </w:r>
            <w:r w:rsidR="004A31B6">
              <w:rPr>
                <w:b/>
                <w:sz w:val="22"/>
                <w:szCs w:val="22"/>
              </w:rPr>
              <w:br/>
            </w:r>
            <w:r w:rsidRPr="004A31B6">
              <w:rPr>
                <w:b/>
                <w:sz w:val="22"/>
                <w:szCs w:val="22"/>
              </w:rPr>
              <w:t>PSD?</w:t>
            </w:r>
          </w:p>
        </w:tc>
      </w:tr>
      <w:tr w:rsidR="00E67E9E" w:rsidTr="004A31B6">
        <w:trPr>
          <w:trHeight w:val="86"/>
          <w:jc w:val="center"/>
        </w:trPr>
        <w:tc>
          <w:tcPr>
            <w:tcW w:w="1219" w:type="pct"/>
            <w:tcBorders>
              <w:bottom w:val="single" w:sz="8" w:space="0" w:color="auto"/>
              <w:right w:val="single" w:sz="12" w:space="0" w:color="auto"/>
            </w:tcBorders>
          </w:tcPr>
          <w:p w:rsidR="00E67E9E" w:rsidRPr="004A31B6" w:rsidRDefault="00E67E9E" w:rsidP="00DC418E">
            <w:pPr>
              <w:pStyle w:val="BodyText"/>
              <w:widowControl w:val="0"/>
              <w:spacing w:after="0"/>
              <w:jc w:val="center"/>
              <w:rPr>
                <w:b/>
                <w:sz w:val="22"/>
                <w:szCs w:val="22"/>
                <w:vertAlign w:val="superscript"/>
              </w:rPr>
            </w:pPr>
            <w:r w:rsidRPr="004A31B6">
              <w:rPr>
                <w:b/>
                <w:sz w:val="22"/>
                <w:szCs w:val="22"/>
              </w:rPr>
              <w:t>PM</w:t>
            </w:r>
            <w:r w:rsidR="00064FD9">
              <w:rPr>
                <w:b/>
                <w:sz w:val="22"/>
                <w:szCs w:val="22"/>
              </w:rPr>
              <w:t xml:space="preserve"> </w:t>
            </w:r>
            <w:r w:rsidR="00DC418E">
              <w:rPr>
                <w:b/>
                <w:sz w:val="22"/>
                <w:szCs w:val="22"/>
                <w:vertAlign w:val="superscript"/>
              </w:rPr>
              <w:t>c</w:t>
            </w:r>
          </w:p>
        </w:tc>
        <w:tc>
          <w:tcPr>
            <w:tcW w:w="1219" w:type="pct"/>
            <w:tcBorders>
              <w:left w:val="single" w:sz="12" w:space="0" w:color="auto"/>
              <w:bottom w:val="single" w:sz="8" w:space="0" w:color="auto"/>
              <w:right w:val="single" w:sz="12" w:space="0" w:color="auto"/>
            </w:tcBorders>
          </w:tcPr>
          <w:p w:rsidR="00E67E9E" w:rsidRPr="004A31B6" w:rsidRDefault="00FC7B32" w:rsidP="005F09C2">
            <w:pPr>
              <w:pStyle w:val="BodyText"/>
              <w:widowControl w:val="0"/>
              <w:spacing w:after="0"/>
              <w:jc w:val="center"/>
              <w:rPr>
                <w:sz w:val="22"/>
                <w:szCs w:val="22"/>
              </w:rPr>
            </w:pPr>
            <w:r>
              <w:rPr>
                <w:sz w:val="22"/>
                <w:szCs w:val="22"/>
              </w:rPr>
              <w:t>3.36 x 10</w:t>
            </w:r>
            <w:r w:rsidRPr="00EC07CE">
              <w:rPr>
                <w:sz w:val="22"/>
                <w:szCs w:val="22"/>
                <w:vertAlign w:val="superscript"/>
              </w:rPr>
              <w:t>-4</w:t>
            </w:r>
          </w:p>
        </w:tc>
        <w:tc>
          <w:tcPr>
            <w:tcW w:w="1222" w:type="pct"/>
            <w:tcBorders>
              <w:left w:val="single" w:sz="12" w:space="0" w:color="auto"/>
              <w:bottom w:val="single" w:sz="8" w:space="0" w:color="auto"/>
              <w:right w:val="single" w:sz="12" w:space="0" w:color="auto"/>
            </w:tcBorders>
          </w:tcPr>
          <w:p w:rsidR="00E67E9E" w:rsidRPr="004A31B6" w:rsidRDefault="00E67E9E" w:rsidP="005F09C2">
            <w:pPr>
              <w:pStyle w:val="BodyText"/>
              <w:widowControl w:val="0"/>
              <w:spacing w:after="0"/>
              <w:jc w:val="center"/>
              <w:rPr>
                <w:sz w:val="22"/>
                <w:szCs w:val="22"/>
              </w:rPr>
            </w:pPr>
            <w:r w:rsidRPr="004A31B6">
              <w:rPr>
                <w:sz w:val="22"/>
                <w:szCs w:val="22"/>
              </w:rPr>
              <w:t>25</w:t>
            </w:r>
          </w:p>
        </w:tc>
        <w:tc>
          <w:tcPr>
            <w:tcW w:w="1340" w:type="pct"/>
            <w:tcBorders>
              <w:left w:val="single" w:sz="12" w:space="0" w:color="auto"/>
              <w:bottom w:val="single" w:sz="8" w:space="0" w:color="auto"/>
            </w:tcBorders>
          </w:tcPr>
          <w:p w:rsidR="00E67E9E" w:rsidRPr="004A31B6" w:rsidRDefault="00E67E9E" w:rsidP="00E67E9E">
            <w:pPr>
              <w:pStyle w:val="BodyText"/>
              <w:widowControl w:val="0"/>
              <w:spacing w:after="0"/>
              <w:jc w:val="center"/>
              <w:rPr>
                <w:sz w:val="22"/>
                <w:szCs w:val="22"/>
              </w:rPr>
            </w:pPr>
            <w:r w:rsidRPr="004A31B6">
              <w:rPr>
                <w:sz w:val="22"/>
                <w:szCs w:val="22"/>
              </w:rPr>
              <w:t>No</w:t>
            </w:r>
          </w:p>
        </w:tc>
      </w:tr>
      <w:tr w:rsidR="00E67E9E" w:rsidTr="004A31B6">
        <w:trPr>
          <w:trHeight w:val="140"/>
          <w:jc w:val="center"/>
        </w:trPr>
        <w:tc>
          <w:tcPr>
            <w:tcW w:w="1219" w:type="pct"/>
            <w:tcBorders>
              <w:top w:val="single" w:sz="8" w:space="0" w:color="auto"/>
              <w:bottom w:val="single" w:sz="8" w:space="0" w:color="auto"/>
              <w:right w:val="single" w:sz="12" w:space="0" w:color="auto"/>
            </w:tcBorders>
          </w:tcPr>
          <w:p w:rsidR="00E67E9E" w:rsidRPr="004A31B6" w:rsidRDefault="00E67E9E" w:rsidP="00DC418E">
            <w:pPr>
              <w:pStyle w:val="BodyText"/>
              <w:widowControl w:val="0"/>
              <w:spacing w:after="0"/>
              <w:jc w:val="center"/>
              <w:rPr>
                <w:b/>
                <w:sz w:val="22"/>
                <w:szCs w:val="22"/>
                <w:vertAlign w:val="superscript"/>
              </w:rPr>
            </w:pPr>
            <w:r w:rsidRPr="004A31B6">
              <w:rPr>
                <w:b/>
                <w:sz w:val="22"/>
                <w:szCs w:val="22"/>
              </w:rPr>
              <w:lastRenderedPageBreak/>
              <w:t>PM</w:t>
            </w:r>
            <w:r w:rsidRPr="004A31B6">
              <w:rPr>
                <w:b/>
                <w:sz w:val="22"/>
                <w:szCs w:val="22"/>
                <w:vertAlign w:val="subscript"/>
              </w:rPr>
              <w:t>10</w:t>
            </w:r>
            <w:r w:rsidR="00064FD9" w:rsidRPr="00064FD9">
              <w:rPr>
                <w:b/>
                <w:sz w:val="22"/>
                <w:szCs w:val="22"/>
              </w:rPr>
              <w:t xml:space="preserve"> </w:t>
            </w:r>
            <w:r w:rsidR="00DC418E">
              <w:rPr>
                <w:b/>
                <w:sz w:val="22"/>
                <w:szCs w:val="22"/>
                <w:vertAlign w:val="superscript"/>
              </w:rPr>
              <w:t>d</w:t>
            </w:r>
          </w:p>
        </w:tc>
        <w:tc>
          <w:tcPr>
            <w:tcW w:w="1219" w:type="pct"/>
            <w:tcBorders>
              <w:top w:val="single" w:sz="8" w:space="0" w:color="auto"/>
              <w:left w:val="single" w:sz="12" w:space="0" w:color="auto"/>
              <w:bottom w:val="single" w:sz="8" w:space="0" w:color="auto"/>
              <w:right w:val="single" w:sz="12" w:space="0" w:color="auto"/>
            </w:tcBorders>
          </w:tcPr>
          <w:p w:rsidR="00E67E9E" w:rsidRPr="004A31B6" w:rsidRDefault="00FC7B32" w:rsidP="005F09C2">
            <w:pPr>
              <w:pStyle w:val="BodyText"/>
              <w:widowControl w:val="0"/>
              <w:spacing w:after="0"/>
              <w:jc w:val="center"/>
              <w:rPr>
                <w:sz w:val="22"/>
                <w:szCs w:val="22"/>
              </w:rPr>
            </w:pPr>
            <w:r>
              <w:rPr>
                <w:sz w:val="22"/>
                <w:szCs w:val="22"/>
              </w:rPr>
              <w:t>1.68 x 10</w:t>
            </w:r>
            <w:r w:rsidRPr="00EC07CE">
              <w:rPr>
                <w:sz w:val="22"/>
                <w:szCs w:val="22"/>
                <w:vertAlign w:val="superscript"/>
              </w:rPr>
              <w:t>-5</w:t>
            </w:r>
          </w:p>
        </w:tc>
        <w:tc>
          <w:tcPr>
            <w:tcW w:w="1222" w:type="pct"/>
            <w:tcBorders>
              <w:top w:val="single" w:sz="8" w:space="0" w:color="auto"/>
              <w:left w:val="single" w:sz="12" w:space="0" w:color="auto"/>
              <w:bottom w:val="single" w:sz="8" w:space="0" w:color="auto"/>
              <w:right w:val="single" w:sz="12" w:space="0" w:color="auto"/>
            </w:tcBorders>
          </w:tcPr>
          <w:p w:rsidR="00E67E9E" w:rsidRPr="004A31B6" w:rsidRDefault="00E67E9E" w:rsidP="005F09C2">
            <w:pPr>
              <w:pStyle w:val="BodyText"/>
              <w:widowControl w:val="0"/>
              <w:spacing w:after="0"/>
              <w:jc w:val="center"/>
              <w:rPr>
                <w:sz w:val="22"/>
                <w:szCs w:val="22"/>
              </w:rPr>
            </w:pPr>
            <w:r w:rsidRPr="004A31B6">
              <w:rPr>
                <w:sz w:val="22"/>
                <w:szCs w:val="22"/>
              </w:rPr>
              <w:t>15</w:t>
            </w:r>
          </w:p>
        </w:tc>
        <w:tc>
          <w:tcPr>
            <w:tcW w:w="1340" w:type="pct"/>
            <w:tcBorders>
              <w:top w:val="single" w:sz="8" w:space="0" w:color="auto"/>
              <w:left w:val="single" w:sz="12" w:space="0" w:color="auto"/>
              <w:bottom w:val="single" w:sz="8" w:space="0" w:color="auto"/>
            </w:tcBorders>
          </w:tcPr>
          <w:p w:rsidR="00E67E9E" w:rsidRPr="004A31B6" w:rsidRDefault="00E67E9E" w:rsidP="00E67E9E">
            <w:pPr>
              <w:pStyle w:val="BodyText"/>
              <w:widowControl w:val="0"/>
              <w:spacing w:after="0"/>
              <w:jc w:val="center"/>
              <w:rPr>
                <w:sz w:val="22"/>
                <w:szCs w:val="22"/>
              </w:rPr>
            </w:pPr>
            <w:r w:rsidRPr="004A31B6">
              <w:rPr>
                <w:sz w:val="22"/>
                <w:szCs w:val="22"/>
              </w:rPr>
              <w:t>No</w:t>
            </w:r>
          </w:p>
        </w:tc>
      </w:tr>
      <w:tr w:rsidR="00E67E9E" w:rsidTr="004A31B6">
        <w:trPr>
          <w:trHeight w:val="113"/>
          <w:jc w:val="center"/>
        </w:trPr>
        <w:tc>
          <w:tcPr>
            <w:tcW w:w="1219" w:type="pct"/>
            <w:tcBorders>
              <w:top w:val="single" w:sz="8" w:space="0" w:color="auto"/>
              <w:bottom w:val="single" w:sz="8" w:space="0" w:color="auto"/>
              <w:right w:val="single" w:sz="12" w:space="0" w:color="auto"/>
            </w:tcBorders>
          </w:tcPr>
          <w:p w:rsidR="00E67E9E" w:rsidRPr="004A31B6" w:rsidRDefault="00E67E9E" w:rsidP="00DC418E">
            <w:pPr>
              <w:pStyle w:val="BodyText"/>
              <w:widowControl w:val="0"/>
              <w:spacing w:after="0"/>
              <w:jc w:val="center"/>
              <w:rPr>
                <w:b/>
                <w:sz w:val="22"/>
                <w:szCs w:val="22"/>
                <w:vertAlign w:val="superscript"/>
              </w:rPr>
            </w:pPr>
            <w:r w:rsidRPr="004A31B6">
              <w:rPr>
                <w:b/>
                <w:sz w:val="22"/>
                <w:szCs w:val="22"/>
              </w:rPr>
              <w:t>PM</w:t>
            </w:r>
            <w:r w:rsidRPr="004A31B6">
              <w:rPr>
                <w:b/>
                <w:sz w:val="22"/>
                <w:szCs w:val="22"/>
                <w:vertAlign w:val="subscript"/>
              </w:rPr>
              <w:t>2.</w:t>
            </w:r>
            <w:r w:rsidRPr="00064FD9">
              <w:rPr>
                <w:b/>
                <w:sz w:val="22"/>
                <w:szCs w:val="22"/>
                <w:vertAlign w:val="subscript"/>
              </w:rPr>
              <w:t>5</w:t>
            </w:r>
            <w:r w:rsidR="00064FD9">
              <w:rPr>
                <w:b/>
                <w:sz w:val="22"/>
                <w:szCs w:val="22"/>
              </w:rPr>
              <w:t xml:space="preserve"> </w:t>
            </w:r>
            <w:r w:rsidR="00DC418E">
              <w:rPr>
                <w:b/>
                <w:sz w:val="22"/>
                <w:szCs w:val="22"/>
                <w:vertAlign w:val="superscript"/>
              </w:rPr>
              <w:t>e</w:t>
            </w:r>
          </w:p>
        </w:tc>
        <w:tc>
          <w:tcPr>
            <w:tcW w:w="1219" w:type="pct"/>
            <w:tcBorders>
              <w:top w:val="single" w:sz="8" w:space="0" w:color="auto"/>
              <w:left w:val="single" w:sz="12" w:space="0" w:color="auto"/>
              <w:bottom w:val="single" w:sz="8" w:space="0" w:color="auto"/>
              <w:right w:val="single" w:sz="12" w:space="0" w:color="auto"/>
            </w:tcBorders>
          </w:tcPr>
          <w:p w:rsidR="00E67E9E" w:rsidRPr="004A31B6" w:rsidRDefault="00EC07CE" w:rsidP="005F09C2">
            <w:pPr>
              <w:pStyle w:val="BodyText"/>
              <w:widowControl w:val="0"/>
              <w:spacing w:after="0"/>
              <w:jc w:val="center"/>
              <w:rPr>
                <w:sz w:val="22"/>
                <w:szCs w:val="22"/>
              </w:rPr>
            </w:pPr>
            <w:r>
              <w:rPr>
                <w:sz w:val="22"/>
                <w:szCs w:val="22"/>
              </w:rPr>
              <w:t>3.36 x 10</w:t>
            </w:r>
            <w:r w:rsidRPr="00EC07CE">
              <w:rPr>
                <w:sz w:val="22"/>
                <w:szCs w:val="22"/>
                <w:vertAlign w:val="superscript"/>
              </w:rPr>
              <w:t>-7</w:t>
            </w:r>
          </w:p>
        </w:tc>
        <w:tc>
          <w:tcPr>
            <w:tcW w:w="1222" w:type="pct"/>
            <w:tcBorders>
              <w:top w:val="single" w:sz="8" w:space="0" w:color="auto"/>
              <w:left w:val="single" w:sz="12" w:space="0" w:color="auto"/>
              <w:bottom w:val="single" w:sz="8" w:space="0" w:color="auto"/>
              <w:right w:val="single" w:sz="12" w:space="0" w:color="auto"/>
            </w:tcBorders>
          </w:tcPr>
          <w:p w:rsidR="00E67E9E" w:rsidRPr="004A31B6" w:rsidRDefault="00E67E9E" w:rsidP="005F09C2">
            <w:pPr>
              <w:pStyle w:val="BodyText"/>
              <w:widowControl w:val="0"/>
              <w:spacing w:after="0"/>
              <w:jc w:val="center"/>
              <w:rPr>
                <w:sz w:val="22"/>
                <w:szCs w:val="22"/>
              </w:rPr>
            </w:pPr>
            <w:r w:rsidRPr="004A31B6">
              <w:rPr>
                <w:sz w:val="22"/>
                <w:szCs w:val="22"/>
              </w:rPr>
              <w:t>10</w:t>
            </w:r>
          </w:p>
        </w:tc>
        <w:tc>
          <w:tcPr>
            <w:tcW w:w="1340" w:type="pct"/>
            <w:tcBorders>
              <w:top w:val="single" w:sz="8" w:space="0" w:color="auto"/>
              <w:left w:val="single" w:sz="12" w:space="0" w:color="auto"/>
              <w:bottom w:val="single" w:sz="8" w:space="0" w:color="auto"/>
            </w:tcBorders>
          </w:tcPr>
          <w:p w:rsidR="00E67E9E" w:rsidRPr="004A31B6" w:rsidRDefault="00E67E9E" w:rsidP="005F09C2">
            <w:pPr>
              <w:pStyle w:val="BodyText"/>
              <w:widowControl w:val="0"/>
              <w:spacing w:after="0"/>
              <w:jc w:val="center"/>
              <w:rPr>
                <w:sz w:val="22"/>
                <w:szCs w:val="22"/>
              </w:rPr>
            </w:pPr>
            <w:r w:rsidRPr="004A31B6">
              <w:rPr>
                <w:sz w:val="22"/>
                <w:szCs w:val="22"/>
              </w:rPr>
              <w:t>No</w:t>
            </w:r>
          </w:p>
        </w:tc>
      </w:tr>
      <w:tr w:rsidR="005F09C2" w:rsidTr="004A31B6">
        <w:trPr>
          <w:trHeight w:val="122"/>
          <w:jc w:val="center"/>
        </w:trPr>
        <w:tc>
          <w:tcPr>
            <w:tcW w:w="5000" w:type="pct"/>
            <w:gridSpan w:val="4"/>
            <w:tcBorders>
              <w:top w:val="single" w:sz="12" w:space="0" w:color="auto"/>
            </w:tcBorders>
          </w:tcPr>
          <w:p w:rsidR="005F09C2" w:rsidRPr="00E67E9E" w:rsidRDefault="00E67E9E" w:rsidP="005F09C2">
            <w:pPr>
              <w:pStyle w:val="BodyText"/>
              <w:widowControl w:val="0"/>
              <w:numPr>
                <w:ilvl w:val="0"/>
                <w:numId w:val="13"/>
              </w:numPr>
              <w:spacing w:after="0"/>
              <w:ind w:left="378"/>
              <w:rPr>
                <w:sz w:val="20"/>
              </w:rPr>
            </w:pPr>
            <w:r>
              <w:rPr>
                <w:sz w:val="18"/>
                <w:szCs w:val="18"/>
              </w:rPr>
              <w:t>Tons/year = TPY</w:t>
            </w:r>
          </w:p>
          <w:p w:rsidR="00DC418E" w:rsidRPr="00DC418E" w:rsidRDefault="00DC418E" w:rsidP="00FC7B32">
            <w:pPr>
              <w:pStyle w:val="BodyText"/>
              <w:widowControl w:val="0"/>
              <w:numPr>
                <w:ilvl w:val="0"/>
                <w:numId w:val="13"/>
              </w:numPr>
              <w:spacing w:after="0"/>
              <w:ind w:left="377"/>
              <w:rPr>
                <w:sz w:val="20"/>
              </w:rPr>
            </w:pPr>
            <w:r>
              <w:rPr>
                <w:sz w:val="20"/>
              </w:rPr>
              <w:t>T</w:t>
            </w:r>
            <w:r w:rsidR="00EC07CE">
              <w:rPr>
                <w:sz w:val="20"/>
              </w:rPr>
              <w:t>PY</w:t>
            </w:r>
            <w:r>
              <w:rPr>
                <w:sz w:val="20"/>
              </w:rPr>
              <w:t xml:space="preserve"> are based on 8,760 hours per year which is very conservative for a short duration test such a proposed by LE.</w:t>
            </w:r>
          </w:p>
          <w:p w:rsidR="00E67E9E" w:rsidRPr="00E67E9E" w:rsidRDefault="00E67E9E" w:rsidP="00FC7B32">
            <w:pPr>
              <w:pStyle w:val="BodyText"/>
              <w:widowControl w:val="0"/>
              <w:numPr>
                <w:ilvl w:val="0"/>
                <w:numId w:val="13"/>
              </w:numPr>
              <w:spacing w:after="0"/>
              <w:ind w:left="377"/>
              <w:rPr>
                <w:sz w:val="20"/>
              </w:rPr>
            </w:pPr>
            <w:r>
              <w:rPr>
                <w:sz w:val="18"/>
                <w:szCs w:val="18"/>
              </w:rPr>
              <w:t xml:space="preserve">PM emissions </w:t>
            </w:r>
            <w:r w:rsidR="00090D1D">
              <w:rPr>
                <w:sz w:val="18"/>
                <w:szCs w:val="18"/>
              </w:rPr>
              <w:t>calculations are</w:t>
            </w:r>
            <w:r>
              <w:rPr>
                <w:sz w:val="18"/>
                <w:szCs w:val="18"/>
              </w:rPr>
              <w:t xml:space="preserve"> based on a maximum control </w:t>
            </w:r>
            <w:r w:rsidR="00FC7B32">
              <w:rPr>
                <w:sz w:val="18"/>
                <w:szCs w:val="18"/>
              </w:rPr>
              <w:t>droplet r</w:t>
            </w:r>
            <w:r w:rsidR="00FC7B32" w:rsidRPr="00FC7B32">
              <w:rPr>
                <w:sz w:val="18"/>
                <w:szCs w:val="18"/>
              </w:rPr>
              <w:t xml:space="preserve">emoval </w:t>
            </w:r>
            <w:r>
              <w:rPr>
                <w:sz w:val="18"/>
                <w:szCs w:val="18"/>
              </w:rPr>
              <w:t xml:space="preserve">efficiency </w:t>
            </w:r>
            <w:r w:rsidR="00FC7B32">
              <w:rPr>
                <w:sz w:val="18"/>
                <w:szCs w:val="18"/>
              </w:rPr>
              <w:t>of</w:t>
            </w:r>
            <w:r>
              <w:rPr>
                <w:sz w:val="18"/>
                <w:szCs w:val="18"/>
              </w:rPr>
              <w:t xml:space="preserve"> Unit </w:t>
            </w:r>
            <w:r w:rsidR="00601E95">
              <w:rPr>
                <w:sz w:val="18"/>
                <w:szCs w:val="18"/>
              </w:rPr>
              <w:t>3</w:t>
            </w:r>
            <w:r>
              <w:rPr>
                <w:sz w:val="18"/>
                <w:szCs w:val="18"/>
              </w:rPr>
              <w:t xml:space="preserve"> </w:t>
            </w:r>
            <w:r w:rsidR="00FC7B32" w:rsidRPr="00FC7B32">
              <w:rPr>
                <w:sz w:val="18"/>
                <w:szCs w:val="18"/>
              </w:rPr>
              <w:t xml:space="preserve">WFGD </w:t>
            </w:r>
            <w:r w:rsidR="00FC7B32">
              <w:rPr>
                <w:sz w:val="18"/>
                <w:szCs w:val="18"/>
              </w:rPr>
              <w:t>of</w:t>
            </w:r>
            <w:r w:rsidR="00FC7B32" w:rsidRPr="00FC7B32">
              <w:rPr>
                <w:sz w:val="18"/>
                <w:szCs w:val="18"/>
              </w:rPr>
              <w:t xml:space="preserve"> 99.9</w:t>
            </w:r>
            <w:r w:rsidR="00DC418E" w:rsidRPr="00FC7B32">
              <w:rPr>
                <w:sz w:val="18"/>
                <w:szCs w:val="18"/>
              </w:rPr>
              <w:t xml:space="preserve">% </w:t>
            </w:r>
            <w:r w:rsidR="00DC418E">
              <w:rPr>
                <w:sz w:val="18"/>
                <w:szCs w:val="18"/>
              </w:rPr>
              <w:t>which</w:t>
            </w:r>
            <w:r w:rsidR="00FC7B32">
              <w:rPr>
                <w:sz w:val="18"/>
                <w:szCs w:val="18"/>
              </w:rPr>
              <w:t xml:space="preserve"> is e</w:t>
            </w:r>
            <w:r w:rsidR="00FC7B32" w:rsidRPr="00FC7B32">
              <w:rPr>
                <w:sz w:val="18"/>
                <w:szCs w:val="18"/>
              </w:rPr>
              <w:t>quivalent to drift rate of 0.001</w:t>
            </w:r>
            <w:r>
              <w:rPr>
                <w:sz w:val="18"/>
                <w:szCs w:val="18"/>
              </w:rPr>
              <w:t>.</w:t>
            </w:r>
          </w:p>
          <w:p w:rsidR="00E67E9E" w:rsidRPr="00E67E9E" w:rsidRDefault="00E67E9E" w:rsidP="005F09C2">
            <w:pPr>
              <w:pStyle w:val="BodyText"/>
              <w:widowControl w:val="0"/>
              <w:numPr>
                <w:ilvl w:val="0"/>
                <w:numId w:val="13"/>
              </w:numPr>
              <w:spacing w:after="0"/>
              <w:ind w:left="378"/>
              <w:rPr>
                <w:sz w:val="20"/>
              </w:rPr>
            </w:pPr>
            <w:r>
              <w:rPr>
                <w:sz w:val="18"/>
                <w:szCs w:val="18"/>
              </w:rPr>
              <w:t>PM</w:t>
            </w:r>
            <w:r w:rsidRPr="00E67E9E">
              <w:rPr>
                <w:sz w:val="18"/>
                <w:szCs w:val="18"/>
                <w:vertAlign w:val="subscript"/>
              </w:rPr>
              <w:t>10</w:t>
            </w:r>
            <w:r>
              <w:rPr>
                <w:sz w:val="18"/>
                <w:szCs w:val="18"/>
              </w:rPr>
              <w:t xml:space="preserve"> emissions rate conservatively </w:t>
            </w:r>
            <w:r w:rsidR="00C006F9">
              <w:rPr>
                <w:sz w:val="18"/>
                <w:szCs w:val="18"/>
              </w:rPr>
              <w:t>assumes</w:t>
            </w:r>
            <w:r>
              <w:rPr>
                <w:sz w:val="18"/>
                <w:szCs w:val="18"/>
              </w:rPr>
              <w:t xml:space="preserve"> </w:t>
            </w:r>
            <w:r w:rsidR="00FC7B32">
              <w:rPr>
                <w:sz w:val="18"/>
                <w:szCs w:val="18"/>
              </w:rPr>
              <w:t>5</w:t>
            </w:r>
            <w:r>
              <w:rPr>
                <w:sz w:val="18"/>
                <w:szCs w:val="18"/>
              </w:rPr>
              <w:t>% of total PM is PM</w:t>
            </w:r>
            <w:r w:rsidRPr="00E67E9E">
              <w:rPr>
                <w:sz w:val="18"/>
                <w:szCs w:val="18"/>
                <w:vertAlign w:val="subscript"/>
              </w:rPr>
              <w:t>10</w:t>
            </w:r>
            <w:r>
              <w:rPr>
                <w:sz w:val="18"/>
                <w:szCs w:val="18"/>
              </w:rPr>
              <w:t>.</w:t>
            </w:r>
          </w:p>
          <w:p w:rsidR="005F09C2" w:rsidRPr="00E67E9E" w:rsidRDefault="00E67E9E" w:rsidP="00FC7B32">
            <w:pPr>
              <w:pStyle w:val="BodyText"/>
              <w:widowControl w:val="0"/>
              <w:numPr>
                <w:ilvl w:val="0"/>
                <w:numId w:val="13"/>
              </w:numPr>
              <w:spacing w:after="0"/>
              <w:ind w:left="378"/>
              <w:rPr>
                <w:sz w:val="20"/>
              </w:rPr>
            </w:pPr>
            <w:r>
              <w:rPr>
                <w:sz w:val="18"/>
                <w:szCs w:val="18"/>
              </w:rPr>
              <w:t>PM</w:t>
            </w:r>
            <w:r w:rsidRPr="00E67E9E">
              <w:rPr>
                <w:sz w:val="18"/>
                <w:szCs w:val="18"/>
                <w:vertAlign w:val="subscript"/>
              </w:rPr>
              <w:t>2.5</w:t>
            </w:r>
            <w:r>
              <w:rPr>
                <w:sz w:val="18"/>
                <w:szCs w:val="18"/>
              </w:rPr>
              <w:t xml:space="preserve"> emission rate conservatively </w:t>
            </w:r>
            <w:r w:rsidR="00C006F9">
              <w:rPr>
                <w:sz w:val="18"/>
                <w:szCs w:val="18"/>
              </w:rPr>
              <w:t>assumes</w:t>
            </w:r>
            <w:r>
              <w:rPr>
                <w:sz w:val="18"/>
                <w:szCs w:val="18"/>
              </w:rPr>
              <w:t xml:space="preserve"> that </w:t>
            </w:r>
            <w:r w:rsidR="00FC7B32">
              <w:rPr>
                <w:sz w:val="18"/>
                <w:szCs w:val="18"/>
              </w:rPr>
              <w:t>0.1</w:t>
            </w:r>
            <w:r>
              <w:rPr>
                <w:sz w:val="18"/>
                <w:szCs w:val="18"/>
              </w:rPr>
              <w:t>% of total pm is PM</w:t>
            </w:r>
            <w:r w:rsidRPr="00E67E9E">
              <w:rPr>
                <w:sz w:val="18"/>
                <w:szCs w:val="18"/>
                <w:vertAlign w:val="subscript"/>
              </w:rPr>
              <w:t>2.5</w:t>
            </w:r>
            <w:r>
              <w:rPr>
                <w:sz w:val="18"/>
                <w:szCs w:val="18"/>
              </w:rPr>
              <w:t>.</w:t>
            </w:r>
          </w:p>
        </w:tc>
      </w:tr>
    </w:tbl>
    <w:p w:rsidR="005F09C2" w:rsidRDefault="005F09C2" w:rsidP="005F09C2">
      <w:pPr>
        <w:pStyle w:val="BodyText"/>
        <w:widowControl w:val="0"/>
        <w:spacing w:before="120"/>
        <w:rPr>
          <w:sz w:val="22"/>
        </w:rPr>
      </w:pPr>
      <w:r w:rsidRPr="00E53342">
        <w:rPr>
          <w:sz w:val="22"/>
        </w:rPr>
        <w:t xml:space="preserve">As shown in </w:t>
      </w:r>
      <w:r w:rsidR="00064FD9" w:rsidRPr="00064FD9">
        <w:rPr>
          <w:sz w:val="22"/>
        </w:rPr>
        <w:fldChar w:fldCharType="begin"/>
      </w:r>
      <w:r w:rsidR="00064FD9" w:rsidRPr="00064FD9">
        <w:rPr>
          <w:sz w:val="22"/>
        </w:rPr>
        <w:instrText xml:space="preserve"> REF _Ref360095227 \h </w:instrText>
      </w:r>
      <w:r w:rsidR="00064FD9">
        <w:rPr>
          <w:sz w:val="22"/>
        </w:rPr>
        <w:instrText xml:space="preserve"> \* MERGEFORMAT </w:instrText>
      </w:r>
      <w:r w:rsidR="00064FD9" w:rsidRPr="00064FD9">
        <w:rPr>
          <w:sz w:val="22"/>
        </w:rPr>
      </w:r>
      <w:r w:rsidR="00064FD9" w:rsidRPr="00064FD9">
        <w:rPr>
          <w:sz w:val="22"/>
        </w:rPr>
        <w:fldChar w:fldCharType="separate"/>
      </w:r>
      <w:r w:rsidR="00C25A5E" w:rsidRPr="00C25A5E">
        <w:rPr>
          <w:b/>
          <w:sz w:val="22"/>
          <w:szCs w:val="22"/>
        </w:rPr>
        <w:t xml:space="preserve">Table </w:t>
      </w:r>
      <w:r w:rsidR="00C25A5E" w:rsidRPr="00C25A5E">
        <w:rPr>
          <w:b/>
          <w:noProof/>
          <w:sz w:val="22"/>
          <w:szCs w:val="22"/>
        </w:rPr>
        <w:t>3</w:t>
      </w:r>
      <w:r w:rsidR="00064FD9" w:rsidRPr="00064FD9">
        <w:rPr>
          <w:sz w:val="22"/>
        </w:rPr>
        <w:fldChar w:fldCharType="end"/>
      </w:r>
      <w:r w:rsidRPr="00E53342">
        <w:rPr>
          <w:sz w:val="22"/>
        </w:rPr>
        <w:t>, total project emissions will not exceed the PSD significant emissions rates;</w:t>
      </w:r>
      <w:r>
        <w:rPr>
          <w:sz w:val="22"/>
        </w:rPr>
        <w:t xml:space="preserve"> therefore, the project is not subject to PSD preconstruction review.  </w:t>
      </w:r>
    </w:p>
    <w:p w:rsidR="00FC7B32" w:rsidRDefault="00DC418E" w:rsidP="00DC418E">
      <w:pPr>
        <w:numPr>
          <w:ilvl w:val="1"/>
          <w:numId w:val="14"/>
        </w:numPr>
        <w:tabs>
          <w:tab w:val="left" w:pos="720"/>
        </w:tabs>
        <w:spacing w:after="120"/>
        <w:ind w:left="720" w:hanging="720"/>
        <w:rPr>
          <w:rFonts w:ascii="Times New Roman Bold" w:hAnsi="Times New Roman Bold"/>
          <w:b/>
          <w:sz w:val="22"/>
        </w:rPr>
      </w:pPr>
      <w:r w:rsidRPr="00DC418E">
        <w:rPr>
          <w:rFonts w:ascii="Times New Roman Bold" w:hAnsi="Times New Roman Bold"/>
          <w:b/>
          <w:sz w:val="22"/>
        </w:rPr>
        <w:t>Permit Exemptions</w:t>
      </w:r>
      <w:r w:rsidR="00C25A5E">
        <w:rPr>
          <w:rFonts w:ascii="Times New Roman Bold" w:hAnsi="Times New Roman Bold"/>
          <w:b/>
          <w:sz w:val="22"/>
        </w:rPr>
        <w:t xml:space="preserve"> that may Apply to the Project</w:t>
      </w:r>
    </w:p>
    <w:p w:rsidR="00DC418E" w:rsidRPr="0050765F" w:rsidRDefault="0050765F" w:rsidP="0050765F">
      <w:pPr>
        <w:autoSpaceDE w:val="0"/>
        <w:autoSpaceDN w:val="0"/>
        <w:adjustRightInd w:val="0"/>
        <w:spacing w:after="120"/>
        <w:rPr>
          <w:sz w:val="22"/>
        </w:rPr>
      </w:pPr>
      <w:r w:rsidRPr="0050765F">
        <w:rPr>
          <w:sz w:val="22"/>
          <w:u w:val="single"/>
        </w:rPr>
        <w:t>Rule 62-210.300(3</w:t>
      </w:r>
      <w:proofErr w:type="gramStart"/>
      <w:r w:rsidRPr="0050765F">
        <w:rPr>
          <w:sz w:val="22"/>
          <w:u w:val="single"/>
        </w:rPr>
        <w:t>)(</w:t>
      </w:r>
      <w:proofErr w:type="gramEnd"/>
      <w:r w:rsidRPr="0050765F">
        <w:rPr>
          <w:sz w:val="22"/>
          <w:u w:val="single"/>
        </w:rPr>
        <w:t>b)1.c., F.A.C. states</w:t>
      </w:r>
      <w:r w:rsidR="00BD3608">
        <w:rPr>
          <w:sz w:val="22"/>
          <w:u w:val="single"/>
        </w:rPr>
        <w:t xml:space="preserve"> (note bold face text)</w:t>
      </w:r>
      <w:r>
        <w:rPr>
          <w:sz w:val="22"/>
        </w:rPr>
        <w:t>:</w:t>
      </w:r>
    </w:p>
    <w:p w:rsidR="00601E95" w:rsidRPr="00601E95" w:rsidRDefault="00601E95" w:rsidP="0050765F">
      <w:pPr>
        <w:pStyle w:val="BodyText"/>
        <w:numPr>
          <w:ilvl w:val="0"/>
          <w:numId w:val="21"/>
        </w:numPr>
        <w:spacing w:after="60"/>
        <w:ind w:left="360"/>
        <w:rPr>
          <w:sz w:val="22"/>
        </w:rPr>
      </w:pPr>
      <w:r w:rsidRPr="00601E95">
        <w:rPr>
          <w:sz w:val="22"/>
        </w:rPr>
        <w:t xml:space="preserve">Generic and Temporary Exemptions. </w:t>
      </w:r>
    </w:p>
    <w:p w:rsidR="00601E95" w:rsidRPr="00601E95" w:rsidRDefault="00601E95" w:rsidP="00BD3608">
      <w:pPr>
        <w:pStyle w:val="BodyText"/>
        <w:numPr>
          <w:ilvl w:val="0"/>
          <w:numId w:val="18"/>
        </w:numPr>
        <w:spacing w:before="120"/>
        <w:rPr>
          <w:sz w:val="22"/>
        </w:rPr>
      </w:pPr>
      <w:r w:rsidRPr="00601E95">
        <w:rPr>
          <w:sz w:val="22"/>
        </w:rPr>
        <w:t>Generic Emissions Unit or Activity Exemption. Except as otherwise provided at subsection 62-210.300(3), F.A.C., above, an emissions unit or pollutant-emitting activity that is not entitled to a categorical or conditional exemption pursuant to paragraph 62-210.300(3</w:t>
      </w:r>
      <w:proofErr w:type="gramStart"/>
      <w:r w:rsidRPr="00601E95">
        <w:rPr>
          <w:sz w:val="22"/>
        </w:rPr>
        <w:t>)(</w:t>
      </w:r>
      <w:proofErr w:type="gramEnd"/>
      <w:r w:rsidRPr="00601E95">
        <w:rPr>
          <w:sz w:val="22"/>
        </w:rPr>
        <w:t xml:space="preserve">a), F.A.C., shall be exempt from any requirement to obtain an air construction permit or non-Title V air operation permit, or to use an air general permit pursuant to Rule 62-210.310, F.A.C., if it meets all of the following criteria. </w:t>
      </w:r>
    </w:p>
    <w:p w:rsidR="00601E95" w:rsidRPr="00601E95" w:rsidRDefault="00601E95" w:rsidP="00BD3608">
      <w:pPr>
        <w:pStyle w:val="BodyText"/>
        <w:numPr>
          <w:ilvl w:val="1"/>
          <w:numId w:val="19"/>
        </w:numPr>
        <w:spacing w:before="120"/>
        <w:ind w:left="1080"/>
        <w:rPr>
          <w:sz w:val="22"/>
        </w:rPr>
      </w:pPr>
      <w:r w:rsidRPr="00601E95">
        <w:rPr>
          <w:sz w:val="22"/>
        </w:rPr>
        <w:t xml:space="preserve">It would not be subject to any unit-specific limitation or requirement. </w:t>
      </w:r>
    </w:p>
    <w:p w:rsidR="00601E95" w:rsidRPr="00601E95" w:rsidRDefault="00601E95" w:rsidP="00BD3608">
      <w:pPr>
        <w:pStyle w:val="BodyText"/>
        <w:numPr>
          <w:ilvl w:val="1"/>
          <w:numId w:val="19"/>
        </w:numPr>
        <w:spacing w:before="120"/>
        <w:ind w:left="1080"/>
        <w:rPr>
          <w:sz w:val="22"/>
        </w:rPr>
      </w:pPr>
      <w:r w:rsidRPr="00601E95">
        <w:rPr>
          <w:sz w:val="22"/>
        </w:rPr>
        <w:t xml:space="preserve">Its emissions, in combination with the emissions of other units and activities at the facility, would not cause the facility to emit or have the potential to emit any pollutant in such amount as to create a Title V source. </w:t>
      </w:r>
    </w:p>
    <w:p w:rsidR="00601E95" w:rsidRPr="00601E95" w:rsidRDefault="00601E95" w:rsidP="00BD3608">
      <w:pPr>
        <w:pStyle w:val="BodyText"/>
        <w:numPr>
          <w:ilvl w:val="1"/>
          <w:numId w:val="19"/>
        </w:numPr>
        <w:spacing w:before="120"/>
        <w:ind w:left="1080"/>
        <w:rPr>
          <w:sz w:val="22"/>
        </w:rPr>
      </w:pPr>
      <w:r w:rsidRPr="00601E95">
        <w:rPr>
          <w:sz w:val="22"/>
        </w:rPr>
        <w:t xml:space="preserve">It would neither emit nor have the potential to emit 500 pounds per year or more of lead and lead compounds expressed as lead, 1,000 pounds per year or more of any hazardous air pollutant, 2,500 pounds per year or more of total hazardous air pollutants, or </w:t>
      </w:r>
      <w:r w:rsidRPr="00BD3608">
        <w:rPr>
          <w:b/>
          <w:sz w:val="22"/>
        </w:rPr>
        <w:t>5.0 tons per year or more of any other regulated air pollutant as defined at Rule 62-210.200, F.A.C</w:t>
      </w:r>
      <w:r w:rsidRPr="00601E95">
        <w:rPr>
          <w:sz w:val="22"/>
        </w:rPr>
        <w:t>.</w:t>
      </w:r>
    </w:p>
    <w:p w:rsidR="00601E95" w:rsidRDefault="00BD3608" w:rsidP="005F09C2">
      <w:pPr>
        <w:pStyle w:val="BodyText"/>
        <w:widowControl w:val="0"/>
        <w:spacing w:before="120"/>
        <w:rPr>
          <w:sz w:val="22"/>
        </w:rPr>
      </w:pPr>
      <w:r w:rsidRPr="0050765F">
        <w:rPr>
          <w:sz w:val="22"/>
          <w:u w:val="single"/>
        </w:rPr>
        <w:t>Rule</w:t>
      </w:r>
      <w:r w:rsidRPr="00BD3608">
        <w:rPr>
          <w:sz w:val="22"/>
          <w:u w:val="single"/>
        </w:rPr>
        <w:t xml:space="preserve"> 62-213.430(6) F.A.C.</w:t>
      </w:r>
      <w:r>
        <w:rPr>
          <w:sz w:val="22"/>
          <w:u w:val="single"/>
        </w:rPr>
        <w:t xml:space="preserve"> </w:t>
      </w:r>
      <w:r w:rsidRPr="0050765F">
        <w:rPr>
          <w:sz w:val="22"/>
          <w:u w:val="single"/>
        </w:rPr>
        <w:t>states</w:t>
      </w:r>
    </w:p>
    <w:p w:rsidR="00601E95" w:rsidRDefault="00BD3608" w:rsidP="00BD3608">
      <w:pPr>
        <w:pStyle w:val="BodyText"/>
        <w:widowControl w:val="0"/>
        <w:numPr>
          <w:ilvl w:val="0"/>
          <w:numId w:val="23"/>
        </w:numPr>
        <w:spacing w:before="120"/>
        <w:ind w:left="360"/>
        <w:rPr>
          <w:sz w:val="22"/>
        </w:rPr>
      </w:pPr>
      <w:r w:rsidRPr="00BD3608">
        <w:rPr>
          <w:sz w:val="22"/>
        </w:rPr>
        <w:t>Insignificant Emissions Units or Pollutant-Emitting Activities.</w:t>
      </w:r>
    </w:p>
    <w:p w:rsidR="00BD3608" w:rsidRPr="00BD3608" w:rsidRDefault="00BD3608" w:rsidP="00BD3608">
      <w:pPr>
        <w:pStyle w:val="BodyText"/>
        <w:widowControl w:val="0"/>
        <w:numPr>
          <w:ilvl w:val="1"/>
          <w:numId w:val="24"/>
        </w:numPr>
        <w:spacing w:before="120"/>
        <w:ind w:left="720"/>
        <w:rPr>
          <w:sz w:val="22"/>
        </w:rPr>
      </w:pPr>
      <w:r w:rsidRPr="00BD3608">
        <w:rPr>
          <w:sz w:val="22"/>
        </w:rPr>
        <w:t>All requests for determination of insignificant emissions units or activities made pursuant to paragraph 62-213.420(3</w:t>
      </w:r>
      <w:proofErr w:type="gramStart"/>
      <w:r w:rsidRPr="00BD3608">
        <w:rPr>
          <w:sz w:val="22"/>
        </w:rPr>
        <w:t>)(</w:t>
      </w:r>
      <w:proofErr w:type="gramEnd"/>
      <w:r w:rsidRPr="00BD3608">
        <w:rPr>
          <w:sz w:val="22"/>
        </w:rPr>
        <w:t xml:space="preserve">n), F.A.C., shall be processed in conjunction with the permit, permit renewal or permit revision application submitted pursuant to this chapter. </w:t>
      </w:r>
      <w:r>
        <w:rPr>
          <w:sz w:val="22"/>
        </w:rPr>
        <w:t xml:space="preserve"> </w:t>
      </w:r>
      <w:r w:rsidRPr="00BD3608">
        <w:rPr>
          <w:sz w:val="22"/>
        </w:rPr>
        <w:t>Insignificant emissions units or activities shall be approved by the Department consistent with the provisions of paragraph 62-4.040(1</w:t>
      </w:r>
      <w:proofErr w:type="gramStart"/>
      <w:r w:rsidRPr="00BD3608">
        <w:rPr>
          <w:sz w:val="22"/>
        </w:rPr>
        <w:t>)(</w:t>
      </w:r>
      <w:proofErr w:type="gramEnd"/>
      <w:r w:rsidRPr="00BD3608">
        <w:rPr>
          <w:sz w:val="22"/>
        </w:rPr>
        <w:t>b), F.A.C.</w:t>
      </w:r>
      <w:r>
        <w:rPr>
          <w:sz w:val="22"/>
        </w:rPr>
        <w:t xml:space="preserve"> </w:t>
      </w:r>
      <w:r w:rsidRPr="00BD3608">
        <w:rPr>
          <w:sz w:val="22"/>
        </w:rPr>
        <w:t xml:space="preserve"> Emissions units or activities which are added to a Title V source after issuance of a permit under this chapter shall be incorporated into the permit at its next renewal, provided such emissions units or activities have been exempted from the requirement to obtain an air construction permit and also qualify as insignificant pursuant to this rule. </w:t>
      </w:r>
    </w:p>
    <w:p w:rsidR="00BD3608" w:rsidRPr="00BD3608" w:rsidRDefault="00BD3608" w:rsidP="00BD3608">
      <w:pPr>
        <w:pStyle w:val="BodyText"/>
        <w:widowControl w:val="0"/>
        <w:numPr>
          <w:ilvl w:val="1"/>
          <w:numId w:val="24"/>
        </w:numPr>
        <w:spacing w:before="120"/>
        <w:ind w:left="720"/>
        <w:rPr>
          <w:sz w:val="22"/>
        </w:rPr>
      </w:pPr>
      <w:r w:rsidRPr="00BD3608">
        <w:rPr>
          <w:sz w:val="22"/>
        </w:rPr>
        <w:t xml:space="preserve">An emissions unit or activity shall be considered insignificant if all of the following criteria are met: </w:t>
      </w:r>
    </w:p>
    <w:p w:rsidR="00BD3608" w:rsidRPr="00BD3608" w:rsidRDefault="00BD3608" w:rsidP="00BD3608">
      <w:pPr>
        <w:pStyle w:val="BodyText"/>
        <w:widowControl w:val="0"/>
        <w:numPr>
          <w:ilvl w:val="0"/>
          <w:numId w:val="25"/>
        </w:numPr>
        <w:spacing w:before="120"/>
        <w:ind w:left="1080"/>
        <w:rPr>
          <w:sz w:val="22"/>
        </w:rPr>
      </w:pPr>
      <w:r w:rsidRPr="00BD3608">
        <w:rPr>
          <w:sz w:val="22"/>
        </w:rPr>
        <w:t xml:space="preserve">Such unit or activity would be subject to no unit-specific applicable requirement. </w:t>
      </w:r>
    </w:p>
    <w:p w:rsidR="00BD3608" w:rsidRPr="00BD3608" w:rsidRDefault="00BD3608" w:rsidP="00BD3608">
      <w:pPr>
        <w:pStyle w:val="BodyText"/>
        <w:widowControl w:val="0"/>
        <w:numPr>
          <w:ilvl w:val="0"/>
          <w:numId w:val="25"/>
        </w:numPr>
        <w:spacing w:before="120"/>
        <w:ind w:left="1080"/>
        <w:rPr>
          <w:sz w:val="22"/>
        </w:rPr>
      </w:pPr>
      <w:r w:rsidRPr="00BD3608">
        <w:rPr>
          <w:sz w:val="22"/>
        </w:rPr>
        <w:t>Such unit or activity, in combination with other units and activities proposed as insignificant, would not cause the facility to exceed any major source threshold(s) as defined in subparagraph 62-</w:t>
      </w:r>
      <w:r w:rsidRPr="00BD3608">
        <w:rPr>
          <w:sz w:val="22"/>
        </w:rPr>
        <w:lastRenderedPageBreak/>
        <w:t xml:space="preserve">213.420(3)(c)1., F.A.C., unless it is acknowledged in the permit application that such units or activities would cause the facility to exceed such threshold(s). </w:t>
      </w:r>
    </w:p>
    <w:p w:rsidR="00BD3608" w:rsidRPr="00BD3608" w:rsidRDefault="00BD3608" w:rsidP="00BD3608">
      <w:pPr>
        <w:pStyle w:val="BodyText"/>
        <w:widowControl w:val="0"/>
        <w:numPr>
          <w:ilvl w:val="0"/>
          <w:numId w:val="25"/>
        </w:numPr>
        <w:spacing w:before="120"/>
        <w:ind w:left="1080"/>
        <w:rPr>
          <w:sz w:val="22"/>
        </w:rPr>
      </w:pPr>
      <w:r w:rsidRPr="00BD3608">
        <w:rPr>
          <w:sz w:val="22"/>
        </w:rPr>
        <w:t xml:space="preserve">Such unit or activity would neither emit nor have the potential to emit: </w:t>
      </w:r>
    </w:p>
    <w:p w:rsidR="00BD3608" w:rsidRPr="00BD3608" w:rsidRDefault="00BD3608" w:rsidP="00BD3608">
      <w:pPr>
        <w:pStyle w:val="BodyText"/>
        <w:widowControl w:val="0"/>
        <w:numPr>
          <w:ilvl w:val="1"/>
          <w:numId w:val="26"/>
        </w:numPr>
        <w:spacing w:before="120"/>
        <w:rPr>
          <w:sz w:val="22"/>
        </w:rPr>
      </w:pPr>
      <w:r w:rsidRPr="00BD3608">
        <w:rPr>
          <w:sz w:val="22"/>
        </w:rPr>
        <w:t xml:space="preserve">500 pounds per year or more of lead and lead compounds expressed as lead; </w:t>
      </w:r>
    </w:p>
    <w:p w:rsidR="00BD3608" w:rsidRPr="00BD3608" w:rsidRDefault="00BD3608" w:rsidP="00BD3608">
      <w:pPr>
        <w:pStyle w:val="BodyText"/>
        <w:widowControl w:val="0"/>
        <w:numPr>
          <w:ilvl w:val="1"/>
          <w:numId w:val="26"/>
        </w:numPr>
        <w:spacing w:before="120"/>
        <w:rPr>
          <w:sz w:val="22"/>
        </w:rPr>
      </w:pPr>
      <w:r w:rsidRPr="00BD3608">
        <w:rPr>
          <w:sz w:val="22"/>
        </w:rPr>
        <w:t xml:space="preserve">1,000 pounds per year or more of any hazardous air pollutant; </w:t>
      </w:r>
    </w:p>
    <w:p w:rsidR="00BD3608" w:rsidRPr="00BD3608" w:rsidRDefault="00BD3608" w:rsidP="00BD3608">
      <w:pPr>
        <w:pStyle w:val="BodyText"/>
        <w:widowControl w:val="0"/>
        <w:numPr>
          <w:ilvl w:val="1"/>
          <w:numId w:val="26"/>
        </w:numPr>
        <w:spacing w:before="120"/>
        <w:rPr>
          <w:sz w:val="22"/>
        </w:rPr>
      </w:pPr>
      <w:r w:rsidRPr="00BD3608">
        <w:rPr>
          <w:sz w:val="22"/>
        </w:rPr>
        <w:t xml:space="preserve">2,500 pounds per year or more of total hazardous air pollutants; or </w:t>
      </w:r>
    </w:p>
    <w:p w:rsidR="00601E95" w:rsidRDefault="00BD3608" w:rsidP="00BD3608">
      <w:pPr>
        <w:pStyle w:val="BodyText"/>
        <w:widowControl w:val="0"/>
        <w:numPr>
          <w:ilvl w:val="1"/>
          <w:numId w:val="26"/>
        </w:numPr>
        <w:spacing w:before="120"/>
        <w:rPr>
          <w:sz w:val="22"/>
        </w:rPr>
      </w:pPr>
      <w:r w:rsidRPr="00BD3608">
        <w:rPr>
          <w:sz w:val="22"/>
        </w:rPr>
        <w:t>5.0 tons per year or more of any other regulated pollutant.</w:t>
      </w:r>
    </w:p>
    <w:p w:rsidR="00DD39DC" w:rsidRDefault="00DD39DC" w:rsidP="00DD39DC">
      <w:pPr>
        <w:pStyle w:val="BodyText"/>
        <w:widowControl w:val="0"/>
        <w:spacing w:before="120"/>
        <w:rPr>
          <w:sz w:val="22"/>
          <w:u w:val="single"/>
        </w:rPr>
      </w:pPr>
      <w:r w:rsidRPr="00DD39DC">
        <w:rPr>
          <w:sz w:val="22"/>
          <w:u w:val="single"/>
        </w:rPr>
        <w:t>Rule 62.4.040(1</w:t>
      </w:r>
      <w:proofErr w:type="gramStart"/>
      <w:r w:rsidRPr="00DD39DC">
        <w:rPr>
          <w:sz w:val="22"/>
          <w:u w:val="single"/>
        </w:rPr>
        <w:t>)(</w:t>
      </w:r>
      <w:proofErr w:type="gramEnd"/>
      <w:r w:rsidRPr="00DD39DC">
        <w:rPr>
          <w:sz w:val="22"/>
          <w:u w:val="single"/>
        </w:rPr>
        <w:t>b)</w:t>
      </w:r>
      <w:r>
        <w:rPr>
          <w:sz w:val="22"/>
          <w:u w:val="single"/>
        </w:rPr>
        <w:t xml:space="preserve"> F.A.C</w:t>
      </w:r>
      <w:r w:rsidRPr="00DD39DC">
        <w:rPr>
          <w:sz w:val="22"/>
          <w:u w:val="single"/>
        </w:rPr>
        <w:t>. states</w:t>
      </w:r>
    </w:p>
    <w:p w:rsidR="00DD39DC" w:rsidRPr="00DD39DC" w:rsidRDefault="00DD39DC" w:rsidP="00DD39DC">
      <w:pPr>
        <w:pStyle w:val="BodyText"/>
        <w:widowControl w:val="0"/>
        <w:numPr>
          <w:ilvl w:val="0"/>
          <w:numId w:val="28"/>
        </w:numPr>
        <w:spacing w:before="120"/>
        <w:ind w:left="360"/>
        <w:rPr>
          <w:sz w:val="22"/>
        </w:rPr>
      </w:pPr>
      <w:r w:rsidRPr="00DD39DC">
        <w:rPr>
          <w:sz w:val="22"/>
        </w:rPr>
        <w:t>Any existing or proposed installation which the Department shall determine does not or will not cause the issuance of air or water contaminants in sufficient quantity, with respect to its character, quality or content, and the circumstances surrounding its location, use and operation, as to contribute significantly to the pollution problems within the State, so that the regulation thereof is not reasonably justified. Such a determination is agency action and is subject to Chapter 120, F.S. Such determination shall be made in writing and filed by the Department as a public record. Such determination may be revoked if the installation is substantially modified or the basis for the exemption is determined to be materially incorrect.</w:t>
      </w:r>
    </w:p>
    <w:p w:rsidR="00601E95" w:rsidRDefault="00BD3608" w:rsidP="005F09C2">
      <w:pPr>
        <w:pStyle w:val="BodyText"/>
        <w:widowControl w:val="0"/>
        <w:spacing w:before="120"/>
        <w:rPr>
          <w:sz w:val="22"/>
        </w:rPr>
      </w:pPr>
      <w:r>
        <w:rPr>
          <w:sz w:val="22"/>
        </w:rPr>
        <w:t xml:space="preserve">Of the </w:t>
      </w:r>
      <w:r w:rsidR="00DD39DC">
        <w:rPr>
          <w:sz w:val="22"/>
        </w:rPr>
        <w:t>three</w:t>
      </w:r>
      <w:r>
        <w:rPr>
          <w:sz w:val="22"/>
        </w:rPr>
        <w:t xml:space="preserve"> rule citation</w:t>
      </w:r>
      <w:r w:rsidR="00DD39DC">
        <w:rPr>
          <w:sz w:val="22"/>
        </w:rPr>
        <w:t>s</w:t>
      </w:r>
      <w:r>
        <w:rPr>
          <w:sz w:val="22"/>
        </w:rPr>
        <w:t xml:space="preserve"> given above, </w:t>
      </w:r>
      <w:r w:rsidRPr="00BD3608">
        <w:rPr>
          <w:sz w:val="22"/>
        </w:rPr>
        <w:t>Rule</w:t>
      </w:r>
      <w:r w:rsidR="00DD39DC">
        <w:rPr>
          <w:sz w:val="22"/>
        </w:rPr>
        <w:t>s</w:t>
      </w:r>
      <w:r w:rsidRPr="00BD3608">
        <w:rPr>
          <w:sz w:val="22"/>
        </w:rPr>
        <w:t xml:space="preserve"> 62-213.430(6)</w:t>
      </w:r>
      <w:r w:rsidR="00DD39DC">
        <w:rPr>
          <w:sz w:val="22"/>
        </w:rPr>
        <w:t xml:space="preserve"> and </w:t>
      </w:r>
      <w:r w:rsidR="00DD39DC" w:rsidRPr="00DD39DC">
        <w:rPr>
          <w:sz w:val="22"/>
        </w:rPr>
        <w:t>62.4.040(1</w:t>
      </w:r>
      <w:proofErr w:type="gramStart"/>
      <w:r w:rsidR="00DD39DC" w:rsidRPr="00DD39DC">
        <w:rPr>
          <w:sz w:val="22"/>
        </w:rPr>
        <w:t>)(</w:t>
      </w:r>
      <w:proofErr w:type="gramEnd"/>
      <w:r w:rsidR="00DD39DC" w:rsidRPr="00DD39DC">
        <w:rPr>
          <w:sz w:val="22"/>
        </w:rPr>
        <w:t xml:space="preserve">b) </w:t>
      </w:r>
      <w:r w:rsidRPr="00BD3608">
        <w:rPr>
          <w:sz w:val="22"/>
        </w:rPr>
        <w:t>F.A.C.</w:t>
      </w:r>
      <w:r>
        <w:rPr>
          <w:sz w:val="22"/>
        </w:rPr>
        <w:t xml:space="preserve"> appear to be the most applicable to the LE </w:t>
      </w:r>
      <w:r w:rsidR="00DD39DC" w:rsidRPr="00DD39DC">
        <w:rPr>
          <w:sz w:val="22"/>
        </w:rPr>
        <w:t>mercury emissions reduction system testing</w:t>
      </w:r>
      <w:r w:rsidR="00DD39DC">
        <w:rPr>
          <w:sz w:val="22"/>
        </w:rPr>
        <w:t xml:space="preserve"> project</w:t>
      </w:r>
      <w:r>
        <w:rPr>
          <w:sz w:val="22"/>
        </w:rPr>
        <w:t xml:space="preserve">.  </w:t>
      </w:r>
      <w:r w:rsidR="00DD39DC">
        <w:rPr>
          <w:sz w:val="22"/>
        </w:rPr>
        <w:t xml:space="preserve">For </w:t>
      </w:r>
      <w:r w:rsidR="00DD39DC" w:rsidRPr="00BD3608">
        <w:rPr>
          <w:sz w:val="22"/>
        </w:rPr>
        <w:t>Rule 62-213.430(6)</w:t>
      </w:r>
      <w:r>
        <w:rPr>
          <w:sz w:val="22"/>
        </w:rPr>
        <w:t xml:space="preserve"> the “regulated’ pollutants are PM/PM</w:t>
      </w:r>
      <w:r w:rsidRPr="00DD39DC">
        <w:rPr>
          <w:sz w:val="22"/>
          <w:vertAlign w:val="subscript"/>
        </w:rPr>
        <w:t>10</w:t>
      </w:r>
      <w:r>
        <w:rPr>
          <w:sz w:val="22"/>
        </w:rPr>
        <w:t>/PM</w:t>
      </w:r>
      <w:r w:rsidRPr="00DD39DC">
        <w:rPr>
          <w:sz w:val="22"/>
          <w:vertAlign w:val="subscript"/>
        </w:rPr>
        <w:t>2.5</w:t>
      </w:r>
      <w:r>
        <w:rPr>
          <w:sz w:val="22"/>
        </w:rPr>
        <w:t xml:space="preserve"> </w:t>
      </w:r>
      <w:r w:rsidR="00DD39DC">
        <w:rPr>
          <w:sz w:val="22"/>
        </w:rPr>
        <w:t>and emission of these pollutants for this project are</w:t>
      </w:r>
      <w:r>
        <w:rPr>
          <w:sz w:val="22"/>
        </w:rPr>
        <w:t xml:space="preserve"> well below the exemption threshold of 5 TPY</w:t>
      </w:r>
      <w:r w:rsidR="00DD39DC">
        <w:rPr>
          <w:sz w:val="22"/>
        </w:rPr>
        <w:t xml:space="preserve">.  In addition, </w:t>
      </w:r>
      <w:r w:rsidR="00462D84" w:rsidRPr="00462D84">
        <w:rPr>
          <w:sz w:val="22"/>
        </w:rPr>
        <w:t>Rule 62.4.040(1</w:t>
      </w:r>
      <w:proofErr w:type="gramStart"/>
      <w:r w:rsidR="00462D84" w:rsidRPr="00462D84">
        <w:rPr>
          <w:sz w:val="22"/>
        </w:rPr>
        <w:t>)(</w:t>
      </w:r>
      <w:proofErr w:type="gramEnd"/>
      <w:r w:rsidR="00462D84" w:rsidRPr="00462D84">
        <w:rPr>
          <w:sz w:val="22"/>
        </w:rPr>
        <w:t xml:space="preserve">b) F.A.C. </w:t>
      </w:r>
      <w:r w:rsidR="00462D84">
        <w:rPr>
          <w:sz w:val="22"/>
        </w:rPr>
        <w:t>appears to apply because emissions of PM/PM</w:t>
      </w:r>
      <w:r w:rsidR="00462D84" w:rsidRPr="00EC07CE">
        <w:rPr>
          <w:sz w:val="22"/>
          <w:vertAlign w:val="subscript"/>
        </w:rPr>
        <w:t>10</w:t>
      </w:r>
      <w:r w:rsidR="00EC07CE">
        <w:rPr>
          <w:sz w:val="22"/>
        </w:rPr>
        <w:t>/</w:t>
      </w:r>
      <w:r w:rsidR="00462D84">
        <w:rPr>
          <w:sz w:val="22"/>
        </w:rPr>
        <w:t>PM</w:t>
      </w:r>
      <w:r w:rsidR="00462D84" w:rsidRPr="00EC07CE">
        <w:rPr>
          <w:sz w:val="22"/>
          <w:vertAlign w:val="subscript"/>
        </w:rPr>
        <w:t>2.5</w:t>
      </w:r>
      <w:r w:rsidR="00462D84">
        <w:rPr>
          <w:sz w:val="22"/>
        </w:rPr>
        <w:t xml:space="preserve"> are so low from the project</w:t>
      </w:r>
      <w:r w:rsidR="00EC07CE">
        <w:rPr>
          <w:sz w:val="22"/>
        </w:rPr>
        <w:t xml:space="preserve"> that they</w:t>
      </w:r>
      <w:bookmarkStart w:id="7" w:name="_GoBack"/>
      <w:bookmarkEnd w:id="7"/>
      <w:r w:rsidR="00462D84">
        <w:rPr>
          <w:sz w:val="22"/>
        </w:rPr>
        <w:t xml:space="preserve"> “</w:t>
      </w:r>
      <w:r w:rsidR="00462D84" w:rsidRPr="00462D84">
        <w:rPr>
          <w:i/>
          <w:sz w:val="22"/>
        </w:rPr>
        <w:t>…</w:t>
      </w:r>
      <w:r w:rsidR="00EC07CE" w:rsidRPr="00EC07CE">
        <w:rPr>
          <w:i/>
          <w:sz w:val="22"/>
        </w:rPr>
        <w:t>will not cause the issuance of air or water contaminants in sufficient quantity, with respect to its character, quality or content, and the circumstances surrounding its location, use and operation,</w:t>
      </w:r>
      <w:r w:rsidR="00EC07CE">
        <w:rPr>
          <w:i/>
          <w:sz w:val="22"/>
        </w:rPr>
        <w:t xml:space="preserve"> </w:t>
      </w:r>
      <w:r w:rsidR="00462D84" w:rsidRPr="00462D84">
        <w:rPr>
          <w:i/>
          <w:sz w:val="22"/>
        </w:rPr>
        <w:t>as to contribute significantly to the pollution problems within the State, so that the regulation thereof is not reasonably justified</w:t>
      </w:r>
      <w:r w:rsidR="00462D84">
        <w:rPr>
          <w:i/>
          <w:sz w:val="22"/>
        </w:rPr>
        <w:t>.”</w:t>
      </w:r>
      <w:r w:rsidR="00462D84" w:rsidRPr="00462D84">
        <w:rPr>
          <w:sz w:val="22"/>
        </w:rPr>
        <w:t xml:space="preserve"> </w:t>
      </w:r>
    </w:p>
    <w:p w:rsidR="00193F10" w:rsidRPr="004271CA" w:rsidRDefault="00F11368" w:rsidP="00732EEA">
      <w:pPr>
        <w:pStyle w:val="ListParagraph"/>
        <w:numPr>
          <w:ilvl w:val="0"/>
          <w:numId w:val="15"/>
        </w:numPr>
        <w:spacing w:before="120" w:after="120"/>
        <w:ind w:left="720" w:hanging="720"/>
        <w:contextualSpacing w:val="0"/>
        <w:rPr>
          <w:b/>
          <w:caps/>
          <w:sz w:val="22"/>
        </w:rPr>
      </w:pPr>
      <w:r w:rsidRPr="004271CA">
        <w:rPr>
          <w:b/>
          <w:caps/>
          <w:sz w:val="22"/>
        </w:rPr>
        <w:t>Conclusion</w:t>
      </w:r>
    </w:p>
    <w:p w:rsidR="00193F10" w:rsidRDefault="00304176" w:rsidP="004D1D9F">
      <w:pPr>
        <w:widowControl w:val="0"/>
        <w:spacing w:after="120"/>
        <w:rPr>
          <w:sz w:val="22"/>
        </w:rPr>
      </w:pPr>
      <w:r w:rsidRPr="00304176">
        <w:rPr>
          <w:sz w:val="22"/>
          <w:szCs w:val="22"/>
        </w:rPr>
        <w:t>Pursuant to Rule</w:t>
      </w:r>
      <w:r w:rsidR="00462D84">
        <w:rPr>
          <w:sz w:val="22"/>
          <w:szCs w:val="22"/>
        </w:rPr>
        <w:t>s</w:t>
      </w:r>
      <w:r w:rsidRPr="00304176">
        <w:rPr>
          <w:sz w:val="22"/>
          <w:szCs w:val="22"/>
        </w:rPr>
        <w:t xml:space="preserve"> 62.4.040(1)(b) </w:t>
      </w:r>
      <w:r w:rsidR="00462D84">
        <w:rPr>
          <w:sz w:val="22"/>
          <w:szCs w:val="22"/>
        </w:rPr>
        <w:t xml:space="preserve">and </w:t>
      </w:r>
      <w:r w:rsidR="00462D84" w:rsidRPr="00462D84">
        <w:rPr>
          <w:sz w:val="22"/>
          <w:szCs w:val="22"/>
        </w:rPr>
        <w:t>62-213.430(6)</w:t>
      </w:r>
      <w:r w:rsidR="00462D84">
        <w:rPr>
          <w:sz w:val="22"/>
          <w:szCs w:val="22"/>
        </w:rPr>
        <w:t>,</w:t>
      </w:r>
      <w:r w:rsidR="00462D84" w:rsidRPr="00462D84">
        <w:rPr>
          <w:sz w:val="22"/>
          <w:szCs w:val="22"/>
        </w:rPr>
        <w:t xml:space="preserve"> </w:t>
      </w:r>
      <w:r w:rsidR="00462D84">
        <w:rPr>
          <w:sz w:val="22"/>
          <w:szCs w:val="22"/>
        </w:rPr>
        <w:t>F.A.C</w:t>
      </w:r>
      <w:r w:rsidRPr="00304176">
        <w:rPr>
          <w:sz w:val="22"/>
          <w:szCs w:val="22"/>
        </w:rPr>
        <w:t xml:space="preserve"> and for the reasons </w:t>
      </w:r>
      <w:r>
        <w:rPr>
          <w:sz w:val="22"/>
          <w:szCs w:val="22"/>
        </w:rPr>
        <w:t xml:space="preserve">previously </w:t>
      </w:r>
      <w:r w:rsidRPr="00304176">
        <w:rPr>
          <w:sz w:val="22"/>
          <w:szCs w:val="22"/>
        </w:rPr>
        <w:t>stated</w:t>
      </w:r>
      <w:r w:rsidR="00462D84">
        <w:rPr>
          <w:sz w:val="22"/>
          <w:szCs w:val="22"/>
        </w:rPr>
        <w:t xml:space="preserve"> </w:t>
      </w:r>
      <w:r w:rsidR="0047641F">
        <w:rPr>
          <w:sz w:val="22"/>
          <w:szCs w:val="22"/>
        </w:rPr>
        <w:t>above</w:t>
      </w:r>
      <w:r w:rsidRPr="00304176">
        <w:rPr>
          <w:sz w:val="22"/>
          <w:szCs w:val="22"/>
        </w:rPr>
        <w:t xml:space="preserve">, the </w:t>
      </w:r>
      <w:r w:rsidR="00884EEB">
        <w:rPr>
          <w:sz w:val="22"/>
          <w:szCs w:val="22"/>
        </w:rPr>
        <w:t xml:space="preserve">Office of Permitting and Compliance </w:t>
      </w:r>
      <w:r w:rsidRPr="00304176">
        <w:rPr>
          <w:sz w:val="22"/>
          <w:szCs w:val="22"/>
        </w:rPr>
        <w:t xml:space="preserve">determines that the </w:t>
      </w:r>
      <w:r w:rsidR="00462D84">
        <w:rPr>
          <w:sz w:val="22"/>
          <w:szCs w:val="22"/>
        </w:rPr>
        <w:t>p</w:t>
      </w:r>
      <w:r w:rsidRPr="00304176">
        <w:rPr>
          <w:sz w:val="22"/>
          <w:szCs w:val="22"/>
        </w:rPr>
        <w:t>roject is exempt from the requirement to obtain an air construction permit.  This determination may be revoked if the proposed activity is substantially modified or the basis for the exemption is determined to be materially incorrect.</w:t>
      </w:r>
      <w:r w:rsidR="00193F10" w:rsidRPr="00304176">
        <w:rPr>
          <w:sz w:val="22"/>
          <w:szCs w:val="22"/>
        </w:rPr>
        <w:t xml:space="preserve">  </w:t>
      </w:r>
      <w:r w:rsidR="00462D84">
        <w:rPr>
          <w:sz w:val="22"/>
          <w:szCs w:val="22"/>
        </w:rPr>
        <w:t>Mr. David Read, P.E.,</w:t>
      </w:r>
      <w:r w:rsidR="00193F10" w:rsidRPr="00304176">
        <w:rPr>
          <w:sz w:val="22"/>
          <w:szCs w:val="22"/>
        </w:rPr>
        <w:t xml:space="preserve"> is the project engineer responsible for reviewing the application and drafting the </w:t>
      </w:r>
      <w:r w:rsidR="00462D84">
        <w:rPr>
          <w:sz w:val="22"/>
          <w:szCs w:val="22"/>
        </w:rPr>
        <w:t>exemption</w:t>
      </w:r>
      <w:r w:rsidR="00193F10" w:rsidRPr="00304176">
        <w:rPr>
          <w:sz w:val="22"/>
          <w:szCs w:val="22"/>
        </w:rPr>
        <w:t>.  Additional details of this analysis may be obtained</w:t>
      </w:r>
      <w:r w:rsidR="00193F10">
        <w:rPr>
          <w:sz w:val="22"/>
        </w:rPr>
        <w:t xml:space="preserve"> by contacting the project engineer </w:t>
      </w:r>
      <w:r w:rsidR="00462D84">
        <w:rPr>
          <w:sz w:val="22"/>
        </w:rPr>
        <w:t xml:space="preserve">by phone at 850-717-9075 or by email at </w:t>
      </w:r>
      <w:hyperlink r:id="rId13" w:history="1">
        <w:r w:rsidR="00462D84" w:rsidRPr="001F7BF5">
          <w:rPr>
            <w:rStyle w:val="Hyperlink"/>
            <w:sz w:val="22"/>
          </w:rPr>
          <w:t>David.Read@dep.state.fl.us</w:t>
        </w:r>
      </w:hyperlink>
      <w:r w:rsidR="00462D84">
        <w:rPr>
          <w:sz w:val="22"/>
        </w:rPr>
        <w:t>.</w:t>
      </w:r>
    </w:p>
    <w:p w:rsidR="00C25A5E" w:rsidRDefault="00C25A5E">
      <w:pPr>
        <w:widowControl w:val="0"/>
        <w:spacing w:after="120"/>
        <w:rPr>
          <w:sz w:val="22"/>
        </w:rPr>
      </w:pPr>
    </w:p>
    <w:sectPr w:rsidR="00C25A5E" w:rsidSect="00315658">
      <w:headerReference w:type="default" r:id="rId14"/>
      <w:footerReference w:type="default" r:id="rId15"/>
      <w:headerReference w:type="first" r:id="rId16"/>
      <w:footerReference w:type="first" r:id="rId17"/>
      <w:pgSz w:w="12240" w:h="15840" w:code="1"/>
      <w:pgMar w:top="720" w:right="1080" w:bottom="720" w:left="1080" w:header="720" w:footer="480" w:gutter="0"/>
      <w:paperSrc w:first="15" w:other="15"/>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0713A" w:rsidRDefault="0090713A">
      <w:r>
        <w:separator/>
      </w:r>
    </w:p>
  </w:endnote>
  <w:endnote w:type="continuationSeparator" w:id="0">
    <w:p w:rsidR="0090713A" w:rsidRDefault="009071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 New Roman Bold">
    <w:panose1 w:val="02020803070505020304"/>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428A4" w:rsidRPr="00922B71" w:rsidRDefault="00480F43" w:rsidP="007428A4">
    <w:pPr>
      <w:pBdr>
        <w:top w:val="single" w:sz="6" w:space="1" w:color="auto"/>
      </w:pBdr>
      <w:tabs>
        <w:tab w:val="right" w:pos="10080"/>
      </w:tabs>
      <w:spacing w:before="240"/>
    </w:pPr>
    <w:r w:rsidRPr="00480F43">
      <w:t>City of Lakeland Electric</w:t>
    </w:r>
    <w:r w:rsidR="007428A4" w:rsidRPr="00922B71">
      <w:tab/>
      <w:t xml:space="preserve">Project No. </w:t>
    </w:r>
    <w:r>
      <w:t>1050004</w:t>
    </w:r>
    <w:r w:rsidR="007428A4" w:rsidRPr="00922B71">
      <w:t>-0</w:t>
    </w:r>
    <w:r>
      <w:t>37</w:t>
    </w:r>
    <w:r w:rsidR="007428A4" w:rsidRPr="00922B71">
      <w:t>-AC</w:t>
    </w:r>
  </w:p>
  <w:p w:rsidR="007428A4" w:rsidRPr="00922B71" w:rsidRDefault="00480F43" w:rsidP="007428A4">
    <w:pPr>
      <w:pBdr>
        <w:top w:val="single" w:sz="6" w:space="1" w:color="auto"/>
      </w:pBdr>
      <w:tabs>
        <w:tab w:val="right" w:pos="10080"/>
      </w:tabs>
    </w:pPr>
    <w:r>
      <w:t>C. D. McIntosh Power Plant</w:t>
    </w:r>
    <w:r w:rsidR="007428A4" w:rsidRPr="00922B71">
      <w:tab/>
    </w:r>
    <w:r w:rsidR="007428A4">
      <w:t>Exemption from</w:t>
    </w:r>
    <w:r w:rsidR="007428A4" w:rsidRPr="00922B71">
      <w:t xml:space="preserve"> Air Construction Permit</w:t>
    </w:r>
  </w:p>
  <w:p w:rsidR="00AF013C" w:rsidRDefault="00AF013C">
    <w:pPr>
      <w:pStyle w:val="Footer"/>
      <w:tabs>
        <w:tab w:val="clear" w:pos="4320"/>
        <w:tab w:val="clear" w:pos="8640"/>
      </w:tabs>
      <w:jc w:val="center"/>
    </w:pPr>
    <w:r>
      <w:rPr>
        <w:rStyle w:val="PageNumber"/>
      </w:rPr>
      <w:t xml:space="preserve">Page </w:t>
    </w:r>
    <w:r>
      <w:rPr>
        <w:rStyle w:val="PageNumber"/>
      </w:rPr>
      <w:fldChar w:fldCharType="begin"/>
    </w:r>
    <w:r>
      <w:rPr>
        <w:rStyle w:val="PageNumber"/>
      </w:rPr>
      <w:instrText xml:space="preserve"> PAGE </w:instrText>
    </w:r>
    <w:r>
      <w:rPr>
        <w:rStyle w:val="PageNumber"/>
      </w:rPr>
      <w:fldChar w:fldCharType="separate"/>
    </w:r>
    <w:r w:rsidR="00EC07CE">
      <w:rPr>
        <w:rStyle w:val="PageNumber"/>
        <w:noProof/>
      </w:rPr>
      <w:t>7</w:t>
    </w:r>
    <w:r>
      <w:rPr>
        <w:rStyle w:val="PageNumber"/>
      </w:rPr>
      <w:fldChar w:fldCharType="end"/>
    </w:r>
    <w:r>
      <w:rPr>
        <w:rStyle w:val="PageNumber"/>
      </w:rPr>
      <w:t xml:space="preserve"> of </w:t>
    </w:r>
    <w:r>
      <w:rPr>
        <w:rStyle w:val="PageNumber"/>
      </w:rPr>
      <w:fldChar w:fldCharType="begin"/>
    </w:r>
    <w:r>
      <w:rPr>
        <w:rStyle w:val="PageNumber"/>
      </w:rPr>
      <w:instrText xml:space="preserve"> NUMPAGES </w:instrText>
    </w:r>
    <w:r>
      <w:rPr>
        <w:rStyle w:val="PageNumber"/>
      </w:rPr>
      <w:fldChar w:fldCharType="separate"/>
    </w:r>
    <w:r w:rsidR="00EC07CE">
      <w:rPr>
        <w:rStyle w:val="PageNumber"/>
        <w:noProof/>
      </w:rPr>
      <w:t>7</w:t>
    </w:r>
    <w:r>
      <w:rPr>
        <w:rStyle w:val="PageNumber"/>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013C" w:rsidRDefault="00AF013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0713A" w:rsidRDefault="0090713A">
      <w:r>
        <w:separator/>
      </w:r>
    </w:p>
  </w:footnote>
  <w:footnote w:type="continuationSeparator" w:id="0">
    <w:p w:rsidR="0090713A" w:rsidRDefault="0090713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013C" w:rsidRDefault="00AF013C">
    <w:pPr>
      <w:pStyle w:val="Header"/>
      <w:pBdr>
        <w:bottom w:val="single" w:sz="6" w:space="1" w:color="auto"/>
      </w:pBdr>
      <w:spacing w:after="240"/>
      <w:jc w:val="center"/>
      <w:rPr>
        <w:b/>
        <w:caps/>
        <w:sz w:val="22"/>
        <w:u w:val="single"/>
      </w:rPr>
    </w:pPr>
    <w:r>
      <w:rPr>
        <w:b/>
        <w:caps/>
        <w:sz w:val="22"/>
      </w:rPr>
      <w:t>TECHNICAL EVALUATION</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013C" w:rsidRDefault="00AF013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011C99"/>
    <w:multiLevelType w:val="hybridMultilevel"/>
    <w:tmpl w:val="9A960FC4"/>
    <w:lvl w:ilvl="0" w:tplc="D51E60B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67B4440"/>
    <w:multiLevelType w:val="hybridMultilevel"/>
    <w:tmpl w:val="0AC23756"/>
    <w:lvl w:ilvl="0" w:tplc="72CEAFD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03869F9"/>
    <w:multiLevelType w:val="hybridMultilevel"/>
    <w:tmpl w:val="826CFF2E"/>
    <w:lvl w:ilvl="0" w:tplc="BF56DD16">
      <w:start w:val="2"/>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5783E36"/>
    <w:multiLevelType w:val="multilevel"/>
    <w:tmpl w:val="AB86AEB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175552A8"/>
    <w:multiLevelType w:val="hybridMultilevel"/>
    <w:tmpl w:val="469672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2B296BEC"/>
    <w:multiLevelType w:val="multilevel"/>
    <w:tmpl w:val="39A259A6"/>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32191DFA"/>
    <w:multiLevelType w:val="hybridMultilevel"/>
    <w:tmpl w:val="74962264"/>
    <w:lvl w:ilvl="0" w:tplc="64104B76">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E6E4C5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8">
    <w:nsid w:val="40774B0A"/>
    <w:multiLevelType w:val="hybridMultilevel"/>
    <w:tmpl w:val="E83A9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11C16EC"/>
    <w:multiLevelType w:val="hybridMultilevel"/>
    <w:tmpl w:val="4798F076"/>
    <w:lvl w:ilvl="0" w:tplc="766A4D70">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44646637"/>
    <w:multiLevelType w:val="hybridMultilevel"/>
    <w:tmpl w:val="13A88A2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A7B1D41"/>
    <w:multiLevelType w:val="hybridMultilevel"/>
    <w:tmpl w:val="1778D1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F9F52D2"/>
    <w:multiLevelType w:val="hybridMultilevel"/>
    <w:tmpl w:val="AB462E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0FF0CEA"/>
    <w:multiLevelType w:val="hybridMultilevel"/>
    <w:tmpl w:val="514AD940"/>
    <w:lvl w:ilvl="0" w:tplc="070CBA30">
      <w:start w:val="1"/>
      <w:numFmt w:val="decimal"/>
      <w:lvlText w:val="1.%1."/>
      <w:lvlJc w:val="left"/>
      <w:pPr>
        <w:ind w:left="720" w:hanging="360"/>
      </w:pPr>
      <w:rPr>
        <w:rFonts w:hint="default"/>
        <w:strike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18A5618"/>
    <w:multiLevelType w:val="hybridMultilevel"/>
    <w:tmpl w:val="3D7C1F02"/>
    <w:lvl w:ilvl="0" w:tplc="FFA648B4">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6250693"/>
    <w:multiLevelType w:val="hybridMultilevel"/>
    <w:tmpl w:val="FFBEC4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86200AC"/>
    <w:multiLevelType w:val="hybridMultilevel"/>
    <w:tmpl w:val="00B0BA6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C502809"/>
    <w:multiLevelType w:val="hybridMultilevel"/>
    <w:tmpl w:val="17B61D1A"/>
    <w:lvl w:ilvl="0" w:tplc="D51E60B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607B234D"/>
    <w:multiLevelType w:val="hybridMultilevel"/>
    <w:tmpl w:val="30C209C2"/>
    <w:lvl w:ilvl="0" w:tplc="0409000F">
      <w:start w:val="1"/>
      <w:numFmt w:val="decimal"/>
      <w:lvlText w:val="%1."/>
      <w:lvlJc w:val="left"/>
      <w:pPr>
        <w:ind w:left="720" w:hanging="360"/>
      </w:pPr>
      <w:rPr>
        <w:rFonts w:hint="default"/>
      </w:rPr>
    </w:lvl>
    <w:lvl w:ilvl="1" w:tplc="C05AE808">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8DF11FE"/>
    <w:multiLevelType w:val="hybridMultilevel"/>
    <w:tmpl w:val="EE2A5F56"/>
    <w:lvl w:ilvl="0" w:tplc="D51E60BA">
      <w:start w:val="1"/>
      <w:numFmt w:val="lowerLetter"/>
      <w:lvlText w:val="(%1)"/>
      <w:lvlJc w:val="left"/>
      <w:pPr>
        <w:ind w:left="720" w:hanging="360"/>
      </w:pPr>
      <w:rPr>
        <w:rFonts w:hint="default"/>
      </w:rPr>
    </w:lvl>
    <w:lvl w:ilvl="1" w:tplc="D51E60BA">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B0B4CD7"/>
    <w:multiLevelType w:val="hybridMultilevel"/>
    <w:tmpl w:val="4B86DB80"/>
    <w:lvl w:ilvl="0" w:tplc="E75C378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D995D6F"/>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76F60FF8"/>
    <w:multiLevelType w:val="hybridMultilevel"/>
    <w:tmpl w:val="95F4473A"/>
    <w:lvl w:ilvl="0" w:tplc="ED4C021A">
      <w:start w:val="6"/>
      <w:numFmt w:val="decimal"/>
      <w:lvlText w:val="(%1)"/>
      <w:lvlJc w:val="left"/>
      <w:pPr>
        <w:ind w:left="720" w:hanging="360"/>
      </w:pPr>
      <w:rPr>
        <w:rFonts w:hint="default"/>
      </w:rPr>
    </w:lvl>
    <w:lvl w:ilvl="1" w:tplc="00DC765A">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90B5C8F"/>
    <w:multiLevelType w:val="hybridMultilevel"/>
    <w:tmpl w:val="53901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B6D6983"/>
    <w:multiLevelType w:val="hybridMultilevel"/>
    <w:tmpl w:val="34CA9646"/>
    <w:lvl w:ilvl="0" w:tplc="64104B76">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7BF94B3C"/>
    <w:multiLevelType w:val="hybridMultilevel"/>
    <w:tmpl w:val="0AE8E8C2"/>
    <w:lvl w:ilvl="0" w:tplc="8446F94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7D823F5D"/>
    <w:multiLevelType w:val="hybridMultilevel"/>
    <w:tmpl w:val="B0C4CB6C"/>
    <w:lvl w:ilvl="0" w:tplc="77A8E582">
      <w:start w:val="1"/>
      <w:numFmt w:val="lowerLetter"/>
      <w:lvlText w:val="%1."/>
      <w:lvlJc w:val="left"/>
      <w:pPr>
        <w:ind w:left="720" w:hanging="360"/>
      </w:pPr>
      <w:rPr>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DC1319C"/>
    <w:multiLevelType w:val="hybridMultilevel"/>
    <w:tmpl w:val="1B4EDE2C"/>
    <w:lvl w:ilvl="0" w:tplc="B9A80800">
      <w:start w:val="1"/>
      <w:numFmt w:val="lowerLetter"/>
      <w:lvlText w:val="%1."/>
      <w:lvlJc w:val="left"/>
      <w:pPr>
        <w:tabs>
          <w:tab w:val="num" w:pos="1080"/>
        </w:tabs>
        <w:ind w:left="1080" w:hanging="360"/>
      </w:pPr>
      <w:rPr>
        <w:sz w:val="18"/>
        <w:szCs w:val="18"/>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7"/>
  </w:num>
  <w:num w:numId="2">
    <w:abstractNumId w:val="24"/>
  </w:num>
  <w:num w:numId="3">
    <w:abstractNumId w:val="1"/>
  </w:num>
  <w:num w:numId="4">
    <w:abstractNumId w:val="6"/>
  </w:num>
  <w:num w:numId="5">
    <w:abstractNumId w:val="9"/>
  </w:num>
  <w:num w:numId="6">
    <w:abstractNumId w:val="4"/>
  </w:num>
  <w:num w:numId="7">
    <w:abstractNumId w:val="12"/>
  </w:num>
  <w:num w:numId="8">
    <w:abstractNumId w:val="8"/>
  </w:num>
  <w:num w:numId="9">
    <w:abstractNumId w:val="13"/>
  </w:num>
  <w:num w:numId="10">
    <w:abstractNumId w:val="21"/>
  </w:num>
  <w:num w:numId="11">
    <w:abstractNumId w:val="23"/>
  </w:num>
  <w:num w:numId="12">
    <w:abstractNumId w:val="27"/>
  </w:num>
  <w:num w:numId="13">
    <w:abstractNumId w:val="26"/>
  </w:num>
  <w:num w:numId="14">
    <w:abstractNumId w:val="5"/>
  </w:num>
  <w:num w:numId="15">
    <w:abstractNumId w:val="3"/>
  </w:num>
  <w:num w:numId="16">
    <w:abstractNumId w:val="15"/>
  </w:num>
  <w:num w:numId="17">
    <w:abstractNumId w:val="11"/>
  </w:num>
  <w:num w:numId="18">
    <w:abstractNumId w:val="18"/>
  </w:num>
  <w:num w:numId="19">
    <w:abstractNumId w:val="10"/>
  </w:num>
  <w:num w:numId="20">
    <w:abstractNumId w:val="0"/>
  </w:num>
  <w:num w:numId="21">
    <w:abstractNumId w:val="14"/>
  </w:num>
  <w:num w:numId="22">
    <w:abstractNumId w:val="25"/>
  </w:num>
  <w:num w:numId="23">
    <w:abstractNumId w:val="22"/>
  </w:num>
  <w:num w:numId="24">
    <w:abstractNumId w:val="19"/>
  </w:num>
  <w:num w:numId="25">
    <w:abstractNumId w:val="20"/>
  </w:num>
  <w:num w:numId="26">
    <w:abstractNumId w:val="16"/>
  </w:num>
  <w:num w:numId="27">
    <w:abstractNumId w:val="17"/>
  </w:num>
  <w:num w:numId="28">
    <w:abstractNumId w:val="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displayHorizontalDrawingGridEvery w:val="0"/>
  <w:displayVerticalDrawingGridEvery w:val="0"/>
  <w:doNotUseMarginsForDrawingGridOrigin/>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3F10"/>
    <w:rsid w:val="00064FD9"/>
    <w:rsid w:val="00077BC7"/>
    <w:rsid w:val="00090D1D"/>
    <w:rsid w:val="000B3948"/>
    <w:rsid w:val="000B4B28"/>
    <w:rsid w:val="000C5143"/>
    <w:rsid w:val="000D297A"/>
    <w:rsid w:val="000E42D3"/>
    <w:rsid w:val="000F1FD7"/>
    <w:rsid w:val="00111453"/>
    <w:rsid w:val="00140CD4"/>
    <w:rsid w:val="001771DC"/>
    <w:rsid w:val="00193F10"/>
    <w:rsid w:val="00194AA6"/>
    <w:rsid w:val="001A6840"/>
    <w:rsid w:val="001C4E37"/>
    <w:rsid w:val="001D1649"/>
    <w:rsid w:val="001D487F"/>
    <w:rsid w:val="001E2CD6"/>
    <w:rsid w:val="001F5059"/>
    <w:rsid w:val="00201860"/>
    <w:rsid w:val="002225DD"/>
    <w:rsid w:val="00276FC3"/>
    <w:rsid w:val="00292DA8"/>
    <w:rsid w:val="0029604B"/>
    <w:rsid w:val="002A28C2"/>
    <w:rsid w:val="002E3CD3"/>
    <w:rsid w:val="002F0E6E"/>
    <w:rsid w:val="002F1835"/>
    <w:rsid w:val="00302267"/>
    <w:rsid w:val="00304176"/>
    <w:rsid w:val="00315658"/>
    <w:rsid w:val="0033363A"/>
    <w:rsid w:val="00346552"/>
    <w:rsid w:val="00362B27"/>
    <w:rsid w:val="00370256"/>
    <w:rsid w:val="003858DE"/>
    <w:rsid w:val="0039482F"/>
    <w:rsid w:val="003A161D"/>
    <w:rsid w:val="003A3C29"/>
    <w:rsid w:val="003B1E0A"/>
    <w:rsid w:val="003C4445"/>
    <w:rsid w:val="003E683A"/>
    <w:rsid w:val="003F1AFB"/>
    <w:rsid w:val="0040283C"/>
    <w:rsid w:val="00412890"/>
    <w:rsid w:val="004271CA"/>
    <w:rsid w:val="0043123B"/>
    <w:rsid w:val="004414F2"/>
    <w:rsid w:val="00446FE7"/>
    <w:rsid w:val="00462375"/>
    <w:rsid w:val="00462D84"/>
    <w:rsid w:val="0047641F"/>
    <w:rsid w:val="00480F43"/>
    <w:rsid w:val="004812AF"/>
    <w:rsid w:val="004A31B6"/>
    <w:rsid w:val="004B5185"/>
    <w:rsid w:val="004C0984"/>
    <w:rsid w:val="004D1D9F"/>
    <w:rsid w:val="004D7A07"/>
    <w:rsid w:val="004E48C8"/>
    <w:rsid w:val="0050765F"/>
    <w:rsid w:val="0052333B"/>
    <w:rsid w:val="00543D0B"/>
    <w:rsid w:val="00581F80"/>
    <w:rsid w:val="005974F1"/>
    <w:rsid w:val="005B43CD"/>
    <w:rsid w:val="005E36E4"/>
    <w:rsid w:val="005F09C2"/>
    <w:rsid w:val="00601E95"/>
    <w:rsid w:val="00617209"/>
    <w:rsid w:val="0065214A"/>
    <w:rsid w:val="00684184"/>
    <w:rsid w:val="00686486"/>
    <w:rsid w:val="006B6EFE"/>
    <w:rsid w:val="006D211A"/>
    <w:rsid w:val="00701FEF"/>
    <w:rsid w:val="007217AB"/>
    <w:rsid w:val="00732EEA"/>
    <w:rsid w:val="00741F1A"/>
    <w:rsid w:val="007428A4"/>
    <w:rsid w:val="00762E18"/>
    <w:rsid w:val="007747AA"/>
    <w:rsid w:val="00782ABD"/>
    <w:rsid w:val="00786837"/>
    <w:rsid w:val="00795F8B"/>
    <w:rsid w:val="007A72F6"/>
    <w:rsid w:val="007B1B7B"/>
    <w:rsid w:val="007C0978"/>
    <w:rsid w:val="007C1A15"/>
    <w:rsid w:val="007E2B41"/>
    <w:rsid w:val="007E5CA3"/>
    <w:rsid w:val="007F7B7E"/>
    <w:rsid w:val="0081199E"/>
    <w:rsid w:val="00835018"/>
    <w:rsid w:val="008603FF"/>
    <w:rsid w:val="008673D3"/>
    <w:rsid w:val="00884EEB"/>
    <w:rsid w:val="008A1BF8"/>
    <w:rsid w:val="008A6D0B"/>
    <w:rsid w:val="0090713A"/>
    <w:rsid w:val="00915F63"/>
    <w:rsid w:val="009168EA"/>
    <w:rsid w:val="0092472B"/>
    <w:rsid w:val="00927872"/>
    <w:rsid w:val="0093238E"/>
    <w:rsid w:val="009411B4"/>
    <w:rsid w:val="00955781"/>
    <w:rsid w:val="0097764C"/>
    <w:rsid w:val="009B32D2"/>
    <w:rsid w:val="00A9297C"/>
    <w:rsid w:val="00A938D5"/>
    <w:rsid w:val="00A948F3"/>
    <w:rsid w:val="00AB3EFC"/>
    <w:rsid w:val="00AF013C"/>
    <w:rsid w:val="00B103DE"/>
    <w:rsid w:val="00B42D59"/>
    <w:rsid w:val="00B75299"/>
    <w:rsid w:val="00B7612C"/>
    <w:rsid w:val="00B93765"/>
    <w:rsid w:val="00BB1087"/>
    <w:rsid w:val="00BC2E00"/>
    <w:rsid w:val="00BC5729"/>
    <w:rsid w:val="00BD3608"/>
    <w:rsid w:val="00BE0F0E"/>
    <w:rsid w:val="00C006F9"/>
    <w:rsid w:val="00C02BEB"/>
    <w:rsid w:val="00C06C6D"/>
    <w:rsid w:val="00C25A5E"/>
    <w:rsid w:val="00C502D1"/>
    <w:rsid w:val="00C66E7D"/>
    <w:rsid w:val="00C7510F"/>
    <w:rsid w:val="00C83824"/>
    <w:rsid w:val="00C94409"/>
    <w:rsid w:val="00CD4660"/>
    <w:rsid w:val="00CD52E2"/>
    <w:rsid w:val="00D07B72"/>
    <w:rsid w:val="00D1045C"/>
    <w:rsid w:val="00D1773B"/>
    <w:rsid w:val="00D24F36"/>
    <w:rsid w:val="00D262B1"/>
    <w:rsid w:val="00D32AA4"/>
    <w:rsid w:val="00D4398E"/>
    <w:rsid w:val="00D51D78"/>
    <w:rsid w:val="00D63958"/>
    <w:rsid w:val="00D727AB"/>
    <w:rsid w:val="00D969BA"/>
    <w:rsid w:val="00DA4D8D"/>
    <w:rsid w:val="00DB4E11"/>
    <w:rsid w:val="00DC418E"/>
    <w:rsid w:val="00DD39DC"/>
    <w:rsid w:val="00E3341A"/>
    <w:rsid w:val="00E42819"/>
    <w:rsid w:val="00E50051"/>
    <w:rsid w:val="00E51868"/>
    <w:rsid w:val="00E607EE"/>
    <w:rsid w:val="00E67E9E"/>
    <w:rsid w:val="00E84B3B"/>
    <w:rsid w:val="00E86857"/>
    <w:rsid w:val="00E9627D"/>
    <w:rsid w:val="00EA4A30"/>
    <w:rsid w:val="00EC07CE"/>
    <w:rsid w:val="00EC344E"/>
    <w:rsid w:val="00EE6112"/>
    <w:rsid w:val="00F03811"/>
    <w:rsid w:val="00F11368"/>
    <w:rsid w:val="00F36CDC"/>
    <w:rsid w:val="00F40909"/>
    <w:rsid w:val="00F54C3F"/>
    <w:rsid w:val="00F71458"/>
    <w:rsid w:val="00F77D22"/>
    <w:rsid w:val="00FA159B"/>
    <w:rsid w:val="00FB2C2C"/>
    <w:rsid w:val="00FC7B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5:chartTrackingRefBased/>
  <w15:docId w15:val="{215E8EB6-9FA5-46D6-8027-F0C4432023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1045C"/>
  </w:style>
  <w:style w:type="paragraph" w:styleId="Heading1">
    <w:name w:val="heading 1"/>
    <w:basedOn w:val="Normal"/>
    <w:next w:val="Normal"/>
    <w:qFormat/>
    <w:rsid w:val="00D1045C"/>
    <w:pPr>
      <w:keepNext/>
      <w:spacing w:after="120"/>
      <w:ind w:left="634"/>
      <w:outlineLvl w:val="0"/>
    </w:pPr>
    <w:rPr>
      <w:sz w:val="28"/>
    </w:rPr>
  </w:style>
  <w:style w:type="paragraph" w:styleId="Heading2">
    <w:name w:val="heading 2"/>
    <w:basedOn w:val="Normal"/>
    <w:next w:val="Normal"/>
    <w:qFormat/>
    <w:rsid w:val="00D1045C"/>
    <w:pPr>
      <w:keepNext/>
      <w:ind w:left="630"/>
      <w:outlineLvl w:val="1"/>
    </w:pPr>
    <w:rPr>
      <w:i/>
      <w:sz w:val="23"/>
    </w:rPr>
  </w:style>
  <w:style w:type="paragraph" w:styleId="Heading3">
    <w:name w:val="heading 3"/>
    <w:basedOn w:val="Normal"/>
    <w:next w:val="Normal"/>
    <w:qFormat/>
    <w:rsid w:val="00D1045C"/>
    <w:pPr>
      <w:keepNext/>
      <w:jc w:val="center"/>
      <w:outlineLvl w:val="2"/>
    </w:pPr>
    <w:rPr>
      <w:sz w:val="28"/>
    </w:rPr>
  </w:style>
  <w:style w:type="paragraph" w:styleId="Heading4">
    <w:name w:val="heading 4"/>
    <w:basedOn w:val="Normal"/>
    <w:next w:val="Normal"/>
    <w:qFormat/>
    <w:rsid w:val="00D1045C"/>
    <w:pPr>
      <w:keepNext/>
      <w:jc w:val="center"/>
      <w:outlineLvl w:val="3"/>
    </w:pPr>
    <w:rPr>
      <w:b/>
      <w:sz w:val="22"/>
    </w:rPr>
  </w:style>
  <w:style w:type="paragraph" w:styleId="Heading5">
    <w:name w:val="heading 5"/>
    <w:basedOn w:val="Normal"/>
    <w:next w:val="Normal"/>
    <w:qFormat/>
    <w:rsid w:val="00D1045C"/>
    <w:pPr>
      <w:keepNext/>
      <w:spacing w:after="120"/>
      <w:ind w:left="720"/>
      <w:outlineLvl w:val="4"/>
    </w:pPr>
    <w:rPr>
      <w:b/>
      <w:sz w:val="22"/>
    </w:rPr>
  </w:style>
  <w:style w:type="paragraph" w:styleId="Heading6">
    <w:name w:val="heading 6"/>
    <w:basedOn w:val="Normal"/>
    <w:next w:val="Normal"/>
    <w:qFormat/>
    <w:rsid w:val="00D1045C"/>
    <w:pPr>
      <w:keepNext/>
      <w:jc w:val="center"/>
      <w:outlineLvl w:val="5"/>
    </w:pPr>
    <w:rPr>
      <w:b/>
      <w:sz w:val="24"/>
    </w:rPr>
  </w:style>
  <w:style w:type="paragraph" w:styleId="Heading7">
    <w:name w:val="heading 7"/>
    <w:basedOn w:val="Normal"/>
    <w:next w:val="Normal"/>
    <w:qFormat/>
    <w:rsid w:val="00D1045C"/>
    <w:pPr>
      <w:keepNext/>
      <w:tabs>
        <w:tab w:val="right" w:pos="9648"/>
      </w:tabs>
      <w:spacing w:after="120" w:line="240" w:lineRule="exact"/>
      <w:ind w:left="630"/>
      <w:outlineLvl w:val="6"/>
    </w:pPr>
    <w:rPr>
      <w:b/>
      <w:sz w:val="22"/>
    </w:rPr>
  </w:style>
  <w:style w:type="paragraph" w:styleId="Heading8">
    <w:name w:val="heading 8"/>
    <w:basedOn w:val="Normal"/>
    <w:next w:val="Normal"/>
    <w:qFormat/>
    <w:rsid w:val="00D1045C"/>
    <w:pPr>
      <w:keepNext/>
      <w:spacing w:after="120"/>
      <w:outlineLvl w:val="7"/>
    </w:pPr>
    <w:rPr>
      <w:b/>
      <w:caps/>
      <w:sz w:val="22"/>
    </w:rPr>
  </w:style>
  <w:style w:type="paragraph" w:styleId="Heading9">
    <w:name w:val="heading 9"/>
    <w:basedOn w:val="Normal"/>
    <w:next w:val="Normal"/>
    <w:qFormat/>
    <w:rsid w:val="00D1045C"/>
    <w:pPr>
      <w:keepNext/>
      <w:spacing w:after="120"/>
      <w:ind w:left="360"/>
      <w:outlineLvl w:val="8"/>
    </w:pPr>
    <w:rPr>
      <w:sz w:val="22"/>
      <w:u w:val="singl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sid w:val="00D1045C"/>
    <w:rPr>
      <w:vertAlign w:val="superscript"/>
    </w:rPr>
  </w:style>
  <w:style w:type="paragraph" w:styleId="Header">
    <w:name w:val="header"/>
    <w:basedOn w:val="Normal"/>
    <w:rsid w:val="00D1045C"/>
    <w:pPr>
      <w:tabs>
        <w:tab w:val="center" w:pos="4320"/>
        <w:tab w:val="right" w:pos="8640"/>
      </w:tabs>
    </w:pPr>
  </w:style>
  <w:style w:type="character" w:styleId="PageNumber">
    <w:name w:val="page number"/>
    <w:basedOn w:val="DefaultParagraphFont"/>
    <w:rsid w:val="00D1045C"/>
  </w:style>
  <w:style w:type="paragraph" w:styleId="Footer">
    <w:name w:val="footer"/>
    <w:basedOn w:val="Normal"/>
    <w:rsid w:val="00D1045C"/>
    <w:pPr>
      <w:tabs>
        <w:tab w:val="center" w:pos="4320"/>
        <w:tab w:val="right" w:pos="8640"/>
      </w:tabs>
    </w:pPr>
  </w:style>
  <w:style w:type="paragraph" w:styleId="BodyTextIndent">
    <w:name w:val="Body Text Indent"/>
    <w:basedOn w:val="Normal"/>
    <w:rsid w:val="00D1045C"/>
    <w:pPr>
      <w:spacing w:after="120"/>
      <w:ind w:left="634"/>
    </w:pPr>
    <w:rPr>
      <w:sz w:val="24"/>
    </w:rPr>
  </w:style>
  <w:style w:type="paragraph" w:styleId="BodyTextIndent2">
    <w:name w:val="Body Text Indent 2"/>
    <w:basedOn w:val="Normal"/>
    <w:rsid w:val="00D1045C"/>
    <w:pPr>
      <w:tabs>
        <w:tab w:val="left" w:pos="630"/>
      </w:tabs>
      <w:spacing w:after="120"/>
      <w:ind w:left="630"/>
    </w:pPr>
    <w:rPr>
      <w:sz w:val="24"/>
    </w:rPr>
  </w:style>
  <w:style w:type="paragraph" w:styleId="BodyTextIndent3">
    <w:name w:val="Body Text Indent 3"/>
    <w:basedOn w:val="Normal"/>
    <w:rsid w:val="00D1045C"/>
    <w:pPr>
      <w:spacing w:before="240" w:after="120"/>
      <w:ind w:left="634"/>
      <w:jc w:val="center"/>
    </w:pPr>
    <w:rPr>
      <w:caps/>
      <w:sz w:val="24"/>
    </w:rPr>
  </w:style>
  <w:style w:type="paragraph" w:styleId="BodyText2">
    <w:name w:val="Body Text 2"/>
    <w:basedOn w:val="Normal"/>
    <w:link w:val="BodyText2Char"/>
    <w:rsid w:val="00D1045C"/>
    <w:pPr>
      <w:numPr>
        <w:ilvl w:val="12"/>
      </w:numPr>
      <w:spacing w:after="120"/>
      <w:jc w:val="both"/>
    </w:pPr>
    <w:rPr>
      <w:sz w:val="22"/>
    </w:rPr>
  </w:style>
  <w:style w:type="paragraph" w:styleId="Title">
    <w:name w:val="Title"/>
    <w:basedOn w:val="Normal"/>
    <w:qFormat/>
    <w:rsid w:val="00D1045C"/>
    <w:pPr>
      <w:jc w:val="center"/>
    </w:pPr>
    <w:rPr>
      <w:b/>
      <w:sz w:val="24"/>
    </w:rPr>
  </w:style>
  <w:style w:type="paragraph" w:styleId="BodyText">
    <w:name w:val="Body Text"/>
    <w:aliases w:val="SCA Body Text,SCA Body Text1,SCA Body Text2,SCA Body Text11,BodyText-JEA,BT-JEA"/>
    <w:basedOn w:val="Normal"/>
    <w:link w:val="BodyTextChar"/>
    <w:rsid w:val="00D1045C"/>
    <w:pPr>
      <w:spacing w:after="120"/>
    </w:pPr>
    <w:rPr>
      <w:sz w:val="24"/>
    </w:rPr>
  </w:style>
  <w:style w:type="paragraph" w:styleId="BodyText3">
    <w:name w:val="Body Text 3"/>
    <w:basedOn w:val="Normal"/>
    <w:rsid w:val="00D1045C"/>
    <w:pPr>
      <w:spacing w:before="120" w:after="120"/>
    </w:pPr>
    <w:rPr>
      <w:sz w:val="22"/>
    </w:rPr>
  </w:style>
  <w:style w:type="paragraph" w:customStyle="1" w:styleId="Style4">
    <w:name w:val="Style4"/>
    <w:next w:val="Normal"/>
    <w:rsid w:val="00D1045C"/>
    <w:rPr>
      <w:noProof/>
      <w:sz w:val="24"/>
    </w:rPr>
  </w:style>
  <w:style w:type="paragraph" w:styleId="BlockText">
    <w:name w:val="Block Text"/>
    <w:basedOn w:val="Normal"/>
    <w:rsid w:val="00D1045C"/>
    <w:pPr>
      <w:spacing w:after="120"/>
      <w:ind w:left="720" w:right="43"/>
      <w:jc w:val="both"/>
    </w:pPr>
    <w:rPr>
      <w:sz w:val="22"/>
    </w:rPr>
  </w:style>
  <w:style w:type="character" w:styleId="Hyperlink">
    <w:name w:val="Hyperlink"/>
    <w:basedOn w:val="DefaultParagraphFont"/>
    <w:rsid w:val="00D1045C"/>
    <w:rPr>
      <w:color w:val="0000FF"/>
      <w:u w:val="single"/>
    </w:rPr>
  </w:style>
  <w:style w:type="paragraph" w:customStyle="1" w:styleId="SCATableHeading">
    <w:name w:val="SCA Table Heading"/>
    <w:basedOn w:val="Normal"/>
    <w:rsid w:val="00D1045C"/>
    <w:pPr>
      <w:jc w:val="center"/>
    </w:pPr>
    <w:rPr>
      <w:b/>
      <w:caps/>
    </w:rPr>
  </w:style>
  <w:style w:type="paragraph" w:customStyle="1" w:styleId="Default">
    <w:name w:val="Default"/>
    <w:rsid w:val="002A28C2"/>
    <w:pPr>
      <w:autoSpaceDE w:val="0"/>
      <w:autoSpaceDN w:val="0"/>
      <w:adjustRightInd w:val="0"/>
    </w:pPr>
    <w:rPr>
      <w:color w:val="000000"/>
      <w:sz w:val="24"/>
      <w:szCs w:val="24"/>
    </w:rPr>
  </w:style>
  <w:style w:type="paragraph" w:styleId="BalloonText">
    <w:name w:val="Balloon Text"/>
    <w:basedOn w:val="Normal"/>
    <w:link w:val="BalloonTextChar"/>
    <w:rsid w:val="00412890"/>
    <w:rPr>
      <w:rFonts w:ascii="Tahoma" w:hAnsi="Tahoma" w:cs="Tahoma"/>
      <w:sz w:val="16"/>
      <w:szCs w:val="16"/>
    </w:rPr>
  </w:style>
  <w:style w:type="character" w:customStyle="1" w:styleId="BalloonTextChar">
    <w:name w:val="Balloon Text Char"/>
    <w:basedOn w:val="DefaultParagraphFont"/>
    <w:link w:val="BalloonText"/>
    <w:rsid w:val="00412890"/>
    <w:rPr>
      <w:rFonts w:ascii="Tahoma" w:hAnsi="Tahoma" w:cs="Tahoma"/>
      <w:sz w:val="16"/>
      <w:szCs w:val="16"/>
    </w:rPr>
  </w:style>
  <w:style w:type="paragraph" w:styleId="Caption">
    <w:name w:val="caption"/>
    <w:basedOn w:val="Normal"/>
    <w:next w:val="Normal"/>
    <w:unhideWhenUsed/>
    <w:qFormat/>
    <w:rsid w:val="004D7A07"/>
    <w:rPr>
      <w:b/>
      <w:bCs/>
    </w:rPr>
  </w:style>
  <w:style w:type="paragraph" w:styleId="ListParagraph">
    <w:name w:val="List Paragraph"/>
    <w:basedOn w:val="Normal"/>
    <w:uiPriority w:val="34"/>
    <w:qFormat/>
    <w:rsid w:val="00795F8B"/>
    <w:pPr>
      <w:ind w:left="720"/>
      <w:contextualSpacing/>
    </w:pPr>
  </w:style>
  <w:style w:type="character" w:customStyle="1" w:styleId="BodyText2Char">
    <w:name w:val="Body Text 2 Char"/>
    <w:basedOn w:val="DefaultParagraphFont"/>
    <w:link w:val="BodyText2"/>
    <w:rsid w:val="00795F8B"/>
    <w:rPr>
      <w:sz w:val="22"/>
    </w:rPr>
  </w:style>
  <w:style w:type="table" w:styleId="TableGrid">
    <w:name w:val="Table Grid"/>
    <w:basedOn w:val="TableNormal"/>
    <w:rsid w:val="00B42D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aliases w:val="SCA Body Text Char,SCA Body Text1 Char,SCA Body Text2 Char,SCA Body Text11 Char,BodyText-JEA Char,BT-JEA Char"/>
    <w:basedOn w:val="DefaultParagraphFont"/>
    <w:link w:val="BodyText"/>
    <w:rsid w:val="005F09C2"/>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David.Read@dep.state.fl.us"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F96907-0F4B-4171-BC48-AB02BA18F5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208</TotalTime>
  <Pages>7</Pages>
  <Words>2630</Words>
  <Characters>14735</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Technical Evaluation &amp; Preliminary Determination</vt:lpstr>
    </vt:vector>
  </TitlesOfParts>
  <Manager>Trina Vielhauer</Manager>
  <Company>FDEP/DARM/BAR</Company>
  <LinksUpToDate>false</LinksUpToDate>
  <CharactersWithSpaces>17331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Evaluation &amp; Preliminary Determination</dc:title>
  <dc:subject>Draft Permit</dc:subject>
  <dc:creator>Jeff Koerner</dc:creator>
  <cp:keywords/>
  <cp:lastModifiedBy>Read, David</cp:lastModifiedBy>
  <cp:revision>10</cp:revision>
  <cp:lastPrinted>2014-03-26T17:26:00Z</cp:lastPrinted>
  <dcterms:created xsi:type="dcterms:W3CDTF">2014-10-14T17:28:00Z</dcterms:created>
  <dcterms:modified xsi:type="dcterms:W3CDTF">2014-10-15T12:10:00Z</dcterms:modified>
</cp:coreProperties>
</file>